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834" w:rsidRDefault="00672834">
      <w:pPr>
        <w:rPr>
          <w:rFonts w:ascii="Arial" w:hAnsi="Arial" w:cs="Arial"/>
          <w:b/>
          <w:sz w:val="16"/>
          <w:szCs w:val="16"/>
          <w:lang w:val="en-GB"/>
        </w:rPr>
      </w:pPr>
      <w:r>
        <w:rPr>
          <w:rFonts w:ascii="Arial" w:hAnsi="Arial" w:cs="Arial"/>
          <w:b/>
          <w:lang w:val="en-GB"/>
        </w:rPr>
        <w:t>PART A – EXPLANATORY NOTE PURSUANT TO FRS 134</w:t>
      </w:r>
    </w:p>
    <w:p w:rsidR="00672834" w:rsidRPr="00E22BBF" w:rsidRDefault="00672834">
      <w:pPr>
        <w:rPr>
          <w:rFonts w:ascii="Arial" w:hAnsi="Arial" w:cs="Arial"/>
          <w:b/>
          <w:sz w:val="22"/>
          <w:szCs w:val="22"/>
          <w:lang w:val="en-GB"/>
        </w:rPr>
      </w:pPr>
    </w:p>
    <w:p w:rsidR="00672834" w:rsidRPr="00E22BBF" w:rsidRDefault="00672834">
      <w:pPr>
        <w:numPr>
          <w:ilvl w:val="0"/>
          <w:numId w:val="2"/>
        </w:numPr>
        <w:tabs>
          <w:tab w:val="left" w:pos="360"/>
        </w:tabs>
        <w:ind w:left="360"/>
        <w:rPr>
          <w:rFonts w:ascii="Arial" w:hAnsi="Arial" w:cs="Arial"/>
          <w:b/>
          <w:sz w:val="22"/>
          <w:szCs w:val="22"/>
          <w:lang w:val="en-GB"/>
        </w:rPr>
      </w:pPr>
      <w:r w:rsidRPr="00E22BBF">
        <w:rPr>
          <w:rFonts w:ascii="Arial" w:hAnsi="Arial" w:cs="Arial"/>
          <w:b/>
          <w:sz w:val="22"/>
          <w:szCs w:val="22"/>
          <w:lang w:val="en-GB"/>
        </w:rPr>
        <w:t>Basis of preparation</w:t>
      </w:r>
    </w:p>
    <w:p w:rsidR="00672834" w:rsidRPr="00E22BBF" w:rsidRDefault="00672834">
      <w:pPr>
        <w:rPr>
          <w:rFonts w:ascii="Arial" w:hAnsi="Arial" w:cs="Arial"/>
          <w:b/>
          <w:sz w:val="22"/>
          <w:szCs w:val="22"/>
          <w:lang w:val="en-GB"/>
        </w:rPr>
      </w:pPr>
    </w:p>
    <w:p w:rsidR="00672834" w:rsidRDefault="00672834">
      <w:pPr>
        <w:ind w:left="705"/>
        <w:jc w:val="both"/>
        <w:rPr>
          <w:rFonts w:ascii="Arial" w:hAnsi="Arial" w:cs="Arial"/>
          <w:sz w:val="16"/>
          <w:szCs w:val="16"/>
        </w:rPr>
      </w:pPr>
      <w:r>
        <w:rPr>
          <w:rFonts w:ascii="Arial" w:hAnsi="Arial" w:cs="Arial"/>
          <w:sz w:val="22"/>
          <w:szCs w:val="22"/>
          <w:lang w:val="en-GB"/>
        </w:rPr>
        <w:t xml:space="preserve">The interim financial statements is unaudited and has been prepared under the historical cost convention except for the revaluation of land, building and farm shed, included within properties, plant and equipment and investment properties that have been measured at their fair value. </w:t>
      </w:r>
    </w:p>
    <w:p w:rsidR="00672834" w:rsidRDefault="00672834">
      <w:pPr>
        <w:ind w:firstLine="360"/>
        <w:rPr>
          <w:rFonts w:ascii="Arial" w:hAnsi="Arial" w:cs="Arial"/>
          <w:sz w:val="16"/>
          <w:szCs w:val="16"/>
        </w:rPr>
      </w:pPr>
    </w:p>
    <w:p w:rsidR="00672834" w:rsidRDefault="00672834">
      <w:pPr>
        <w:ind w:left="720"/>
        <w:jc w:val="both"/>
        <w:rPr>
          <w:rFonts w:ascii="Arial" w:hAnsi="Arial" w:cs="Arial"/>
          <w:sz w:val="16"/>
          <w:szCs w:val="16"/>
        </w:rPr>
      </w:pPr>
      <w:r>
        <w:rPr>
          <w:rFonts w:ascii="Arial" w:hAnsi="Arial" w:cs="Arial"/>
          <w:sz w:val="22"/>
          <w:szCs w:val="22"/>
        </w:rPr>
        <w:t>The interim financial statements should be read in conjunction with the audited financial statements of the Group for the period ended 31 December 2013. These explanation notes attached to the interim financial statements provide an explanation of events and transactions that are significant to an understanding of the changes in the financial position and performance of the Group since the financial period ended 31 December 2013.</w:t>
      </w:r>
    </w:p>
    <w:p w:rsidR="00672834" w:rsidRPr="00E22BBF" w:rsidRDefault="00672834">
      <w:pPr>
        <w:tabs>
          <w:tab w:val="left" w:pos="720"/>
        </w:tabs>
        <w:rPr>
          <w:rFonts w:ascii="Arial" w:hAnsi="Arial" w:cs="Arial"/>
          <w:sz w:val="22"/>
          <w:szCs w:val="22"/>
          <w:lang w:val="en-GB"/>
        </w:rPr>
      </w:pPr>
    </w:p>
    <w:p w:rsidR="00672834" w:rsidRPr="00E22BBF" w:rsidRDefault="00672834">
      <w:pPr>
        <w:numPr>
          <w:ilvl w:val="0"/>
          <w:numId w:val="2"/>
        </w:numPr>
        <w:tabs>
          <w:tab w:val="left" w:pos="360"/>
        </w:tabs>
        <w:ind w:left="360"/>
        <w:rPr>
          <w:rFonts w:ascii="Arial" w:hAnsi="Arial" w:cs="Arial"/>
          <w:sz w:val="22"/>
          <w:szCs w:val="22"/>
          <w:lang w:val="en-GB"/>
        </w:rPr>
      </w:pPr>
      <w:r w:rsidRPr="00E22BBF">
        <w:rPr>
          <w:rFonts w:ascii="Arial" w:hAnsi="Arial" w:cs="Arial"/>
          <w:b/>
          <w:sz w:val="22"/>
          <w:szCs w:val="22"/>
          <w:lang w:val="en-GB"/>
        </w:rPr>
        <w:t>Significant Accounting Policies</w:t>
      </w:r>
    </w:p>
    <w:p w:rsidR="00672834" w:rsidRPr="00E22BBF" w:rsidRDefault="00672834">
      <w:pPr>
        <w:rPr>
          <w:rFonts w:ascii="Arial" w:hAnsi="Arial" w:cs="Arial"/>
          <w:sz w:val="22"/>
          <w:szCs w:val="22"/>
          <w:lang w:val="en-GB"/>
        </w:rPr>
      </w:pPr>
    </w:p>
    <w:p w:rsidR="00672834" w:rsidRDefault="00672834">
      <w:pPr>
        <w:autoSpaceDE w:val="0"/>
        <w:ind w:left="709"/>
        <w:jc w:val="both"/>
        <w:rPr>
          <w:rFonts w:ascii="Arial" w:hAnsi="Arial" w:cs="Arial"/>
          <w:sz w:val="16"/>
          <w:szCs w:val="16"/>
        </w:rPr>
      </w:pPr>
      <w:r w:rsidRPr="00E22BBF">
        <w:rPr>
          <w:rFonts w:ascii="Arial" w:hAnsi="Arial" w:cs="Arial"/>
          <w:sz w:val="22"/>
          <w:szCs w:val="22"/>
        </w:rPr>
        <w:t>The accounting policies and methods of computation adopted by the Group in this</w:t>
      </w:r>
      <w:r>
        <w:rPr>
          <w:rFonts w:ascii="Arial" w:hAnsi="Arial" w:cs="Arial"/>
          <w:sz w:val="22"/>
          <w:szCs w:val="22"/>
        </w:rPr>
        <w:t xml:space="preserve"> interim financial statements are consistent with those adopted in the financial statements for the period ended 31 December 2012 except for adoption of the certain relevant new and revised FRSs, IC Interpretations and</w:t>
      </w:r>
      <w:r>
        <w:rPr>
          <w:rFonts w:ascii="Arial" w:hAnsi="Arial" w:cs="Arial"/>
          <w:sz w:val="18"/>
          <w:szCs w:val="18"/>
        </w:rPr>
        <w:t xml:space="preserve"> </w:t>
      </w:r>
      <w:r>
        <w:rPr>
          <w:rFonts w:ascii="Arial" w:hAnsi="Arial" w:cs="Arial"/>
          <w:sz w:val="22"/>
          <w:szCs w:val="22"/>
        </w:rPr>
        <w:t>Amendments to FRSs and IC Interpretations which are applicable to its financial statements from 1 January 2013.</w:t>
      </w:r>
    </w:p>
    <w:p w:rsidR="00672834" w:rsidRDefault="00672834">
      <w:pPr>
        <w:autoSpaceDE w:val="0"/>
        <w:jc w:val="both"/>
        <w:rPr>
          <w:rFonts w:ascii="Arial" w:hAnsi="Arial" w:cs="Arial"/>
          <w:sz w:val="16"/>
          <w:szCs w:val="16"/>
        </w:rPr>
      </w:pPr>
    </w:p>
    <w:p w:rsidR="00672834" w:rsidRDefault="00672834">
      <w:pPr>
        <w:autoSpaceDE w:val="0"/>
        <w:ind w:left="709"/>
        <w:jc w:val="both"/>
        <w:rPr>
          <w:rFonts w:ascii="Arial" w:hAnsi="Arial" w:cs="Arial"/>
          <w:sz w:val="16"/>
          <w:szCs w:val="16"/>
        </w:rPr>
      </w:pPr>
      <w:r>
        <w:rPr>
          <w:rFonts w:ascii="Arial" w:hAnsi="Arial" w:cs="Arial"/>
          <w:sz w:val="22"/>
          <w:szCs w:val="22"/>
        </w:rPr>
        <w:t>The adoption of the new FRSs, Amendm</w:t>
      </w:r>
      <w:r>
        <w:rPr>
          <w:rFonts w:ascii="Arial" w:hAnsi="Arial" w:cs="Arial"/>
          <w:sz w:val="22"/>
          <w:szCs w:val="22"/>
          <w:lang w:val="en-GB"/>
        </w:rPr>
        <w:t>e</w:t>
      </w:r>
      <w:r>
        <w:rPr>
          <w:rFonts w:ascii="Arial" w:hAnsi="Arial" w:cs="Arial"/>
          <w:sz w:val="22"/>
          <w:szCs w:val="22"/>
        </w:rPr>
        <w:t>nts to FRSs and IC Interpretations does not have significant financial impact on the Group.</w:t>
      </w:r>
    </w:p>
    <w:p w:rsidR="00672834" w:rsidRDefault="00672834">
      <w:pPr>
        <w:autoSpaceDE w:val="0"/>
        <w:ind w:left="709"/>
        <w:jc w:val="both"/>
        <w:rPr>
          <w:rFonts w:ascii="Arial" w:hAnsi="Arial" w:cs="Arial"/>
          <w:sz w:val="16"/>
          <w:szCs w:val="16"/>
        </w:rPr>
      </w:pPr>
    </w:p>
    <w:p w:rsidR="00672834" w:rsidRDefault="00672834">
      <w:pPr>
        <w:tabs>
          <w:tab w:val="left" w:pos="771"/>
          <w:tab w:val="left" w:pos="796"/>
          <w:tab w:val="left" w:pos="1908"/>
        </w:tabs>
        <w:ind w:left="733"/>
        <w:jc w:val="both"/>
        <w:rPr>
          <w:rFonts w:ascii="Arial" w:hAnsi="Arial" w:cs="Arial"/>
          <w:color w:val="auto"/>
          <w:sz w:val="16"/>
          <w:szCs w:val="16"/>
        </w:rPr>
      </w:pPr>
      <w:r>
        <w:rPr>
          <w:rFonts w:ascii="Arial" w:hAnsi="Arial" w:cs="Arial"/>
          <w:color w:val="auto"/>
          <w:sz w:val="22"/>
          <w:szCs w:val="22"/>
        </w:rPr>
        <w:t>On 19 November 2011, MASB issued a new MASB approved accounting framework, the Malaysian Financial Reporting Standards (“MFRSs”) tin conjunction with its planned convergence of FRSs with International Financial reporting Standards (“IFRS”) as issued by the International Accounting Standards Board on 1 January 2012.</w:t>
      </w:r>
    </w:p>
    <w:p w:rsidR="00672834" w:rsidRDefault="00672834">
      <w:pPr>
        <w:ind w:left="1440" w:hanging="720"/>
        <w:jc w:val="both"/>
        <w:rPr>
          <w:rFonts w:ascii="Arial" w:hAnsi="Arial" w:cs="Arial"/>
          <w:color w:val="auto"/>
          <w:sz w:val="16"/>
          <w:szCs w:val="16"/>
        </w:rPr>
      </w:pPr>
    </w:p>
    <w:p w:rsidR="00672834" w:rsidRDefault="00672834">
      <w:pPr>
        <w:ind w:left="750"/>
        <w:jc w:val="both"/>
        <w:rPr>
          <w:rFonts w:ascii="Arial" w:hAnsi="Arial" w:cs="Arial"/>
          <w:color w:val="auto"/>
          <w:sz w:val="22"/>
          <w:szCs w:val="22"/>
        </w:rPr>
      </w:pPr>
      <w:r>
        <w:rPr>
          <w:rFonts w:ascii="Arial" w:hAnsi="Arial" w:cs="Arial"/>
          <w:color w:val="auto"/>
          <w:sz w:val="22"/>
          <w:szCs w:val="22"/>
        </w:rPr>
        <w:t>The MFRSs are to be applied by all Entities Other Than Private Entities for annual periods beginning on or after 1 January 2012, with the exception of entities that are within the scope of MFRS 141 (Agriculture) and IC Interpretation 15 (Agreements for Construction of Real Estate), are given an option to defer adoption of the MFRS framework by Transitioning Entities will be mandatory for annual periods beginning on or after 1 January 2013. Transitioning Entities also include those entities that consolidate, equity account or proportionately consolidate an entity that has chosen to continue to apply FRS framework for annual periods beginning on or after 1 January 2012.</w:t>
      </w:r>
    </w:p>
    <w:p w:rsidR="00672834" w:rsidRPr="007A070F" w:rsidRDefault="00672834">
      <w:pPr>
        <w:ind w:left="1440"/>
        <w:jc w:val="both"/>
        <w:rPr>
          <w:rFonts w:ascii="Arial" w:hAnsi="Arial" w:cs="Arial"/>
          <w:color w:val="auto"/>
          <w:sz w:val="16"/>
          <w:szCs w:val="16"/>
        </w:rPr>
      </w:pPr>
    </w:p>
    <w:p w:rsidR="00672834" w:rsidRDefault="00672834">
      <w:pPr>
        <w:ind w:left="750"/>
        <w:jc w:val="both"/>
        <w:rPr>
          <w:rFonts w:ascii="Arial" w:hAnsi="Arial" w:cs="Arial"/>
          <w:b/>
          <w:color w:val="auto"/>
          <w:sz w:val="22"/>
          <w:szCs w:val="22"/>
        </w:rPr>
      </w:pPr>
      <w:r>
        <w:rPr>
          <w:rFonts w:ascii="Arial" w:hAnsi="Arial" w:cs="Arial"/>
          <w:color w:val="auto"/>
          <w:sz w:val="22"/>
          <w:szCs w:val="22"/>
        </w:rPr>
        <w:t>On 30 June 2012, MASB has decided to allow agriculture and real estate companies (“Transitioning entities”) to defer the adoption of the MFRS Framework for another year. MFRS will therefore be mandated for all companies for annual periods beginning on or after 1 January 2014. This decision comes after extensive</w:t>
      </w:r>
      <w:r>
        <w:rPr>
          <w:rFonts w:ascii="Arial" w:hAnsi="Arial" w:cs="Arial"/>
          <w:color w:val="auto"/>
        </w:rPr>
        <w:t xml:space="preserve"> </w:t>
      </w:r>
      <w:r>
        <w:rPr>
          <w:rFonts w:ascii="Arial" w:hAnsi="Arial" w:cs="Arial"/>
          <w:color w:val="auto"/>
          <w:sz w:val="22"/>
          <w:szCs w:val="22"/>
        </w:rPr>
        <w:t>deliberation by MASB and taking into account both local and international developments affecting these standards.</w:t>
      </w:r>
    </w:p>
    <w:p w:rsidR="00672834" w:rsidRDefault="00672834">
      <w:pPr>
        <w:tabs>
          <w:tab w:val="left" w:pos="750"/>
        </w:tabs>
        <w:ind w:left="750"/>
        <w:jc w:val="both"/>
      </w:pPr>
      <w:r>
        <w:rPr>
          <w:rFonts w:ascii="Arial" w:hAnsi="Arial" w:cs="Arial"/>
          <w:b/>
          <w:color w:val="auto"/>
          <w:sz w:val="22"/>
          <w:szCs w:val="22"/>
        </w:rPr>
        <w:lastRenderedPageBreak/>
        <w:t>Significant Accounting Policies (“Continued”)</w:t>
      </w:r>
    </w:p>
    <w:p w:rsidR="00672834" w:rsidRDefault="00672834">
      <w:pPr>
        <w:ind w:left="750"/>
        <w:jc w:val="both"/>
      </w:pPr>
    </w:p>
    <w:p w:rsidR="00672834" w:rsidRDefault="00672834">
      <w:pPr>
        <w:ind w:left="750"/>
        <w:jc w:val="both"/>
        <w:rPr>
          <w:rFonts w:ascii="Arial" w:hAnsi="Arial" w:cs="Arial"/>
          <w:b/>
          <w:sz w:val="22"/>
          <w:szCs w:val="22"/>
          <w:lang w:val="en-GB"/>
        </w:rPr>
      </w:pPr>
      <w:r>
        <w:rPr>
          <w:rFonts w:ascii="Arial" w:hAnsi="Arial" w:cs="Arial"/>
          <w:color w:val="auto"/>
          <w:sz w:val="22"/>
          <w:szCs w:val="22"/>
        </w:rPr>
        <w:t>The Group falls within the definition of Transitioning Entities and has opted to defer adoption of the new MFRS framework. Accordingly, the Group will be required to prepare financial statements using the MFRS Framework in its first financial statements for the quarter ending 31 March 2013. In presenting its first MFRS financial statements, the Group will be required to restate the comparative financial statements to amounts reflecting the application of MFRS Framework. The majority of the adjustments required on transition will be made, retrospectively, against opening retained earnings.</w:t>
      </w:r>
    </w:p>
    <w:p w:rsidR="00672834" w:rsidRDefault="00672834">
      <w:pPr>
        <w:tabs>
          <w:tab w:val="left" w:pos="360"/>
        </w:tabs>
        <w:ind w:left="360"/>
        <w:jc w:val="both"/>
        <w:rPr>
          <w:rFonts w:ascii="Arial" w:hAnsi="Arial" w:cs="Arial"/>
          <w:b/>
          <w:sz w:val="22"/>
          <w:szCs w:val="22"/>
          <w:lang w:val="en-GB"/>
        </w:rPr>
      </w:pPr>
      <w:r>
        <w:rPr>
          <w:rFonts w:ascii="Arial" w:hAnsi="Arial" w:cs="Arial"/>
          <w:b/>
          <w:sz w:val="22"/>
          <w:szCs w:val="22"/>
          <w:lang w:val="en-GB"/>
        </w:rPr>
        <w:t xml:space="preserve"> </w:t>
      </w:r>
    </w:p>
    <w:p w:rsidR="00672834" w:rsidRDefault="00672834">
      <w:pPr>
        <w:numPr>
          <w:ilvl w:val="0"/>
          <w:numId w:val="2"/>
        </w:numPr>
        <w:tabs>
          <w:tab w:val="left" w:pos="360"/>
        </w:tabs>
        <w:ind w:left="360"/>
        <w:jc w:val="both"/>
        <w:rPr>
          <w:rFonts w:ascii="Arial" w:hAnsi="Arial" w:cs="Arial"/>
          <w:b/>
          <w:lang w:val="en-GB"/>
        </w:rPr>
      </w:pPr>
      <w:r>
        <w:rPr>
          <w:rFonts w:ascii="Arial" w:hAnsi="Arial" w:cs="Arial"/>
          <w:b/>
          <w:sz w:val="22"/>
          <w:szCs w:val="22"/>
          <w:lang w:val="en-GB"/>
        </w:rPr>
        <w:t xml:space="preserve"> Auditors’ report on Preceding Annual Financial Statements</w:t>
      </w:r>
    </w:p>
    <w:p w:rsidR="00672834" w:rsidRDefault="00672834">
      <w:pPr>
        <w:jc w:val="both"/>
        <w:rPr>
          <w:rFonts w:ascii="Arial" w:hAnsi="Arial" w:cs="Arial"/>
          <w:b/>
          <w:lang w:val="en-GB"/>
        </w:rPr>
      </w:pPr>
    </w:p>
    <w:p w:rsidR="00672834" w:rsidRDefault="00672834">
      <w:pPr>
        <w:ind w:left="735"/>
        <w:jc w:val="both"/>
        <w:rPr>
          <w:rFonts w:ascii="Arial" w:hAnsi="Arial" w:cs="Arial"/>
          <w:b/>
          <w:i/>
          <w:lang w:val="en-GB"/>
        </w:rPr>
      </w:pPr>
      <w:r>
        <w:rPr>
          <w:rFonts w:ascii="Arial" w:eastAsia="Times New Roman" w:hAnsi="Arial" w:cs="Arial"/>
          <w:sz w:val="22"/>
          <w:szCs w:val="22"/>
        </w:rPr>
        <w:t>The auditors' report on the financial statements for the year ended 31 December 2013 was not qualified.</w:t>
      </w:r>
    </w:p>
    <w:p w:rsidR="00672834" w:rsidRDefault="00672834">
      <w:pPr>
        <w:rPr>
          <w:rFonts w:ascii="Arial" w:hAnsi="Arial" w:cs="Arial"/>
          <w:b/>
          <w:i/>
          <w:lang w:val="en-GB"/>
        </w:rPr>
      </w:pPr>
    </w:p>
    <w:p w:rsidR="00672834" w:rsidRDefault="00672834">
      <w:pPr>
        <w:numPr>
          <w:ilvl w:val="0"/>
          <w:numId w:val="2"/>
        </w:numPr>
        <w:tabs>
          <w:tab w:val="left" w:pos="360"/>
        </w:tabs>
        <w:ind w:left="360"/>
        <w:jc w:val="both"/>
        <w:rPr>
          <w:rFonts w:ascii="Arial" w:hAnsi="Arial" w:cs="Arial"/>
          <w:lang w:val="en-GB"/>
        </w:rPr>
      </w:pPr>
      <w:r>
        <w:rPr>
          <w:rFonts w:ascii="Arial" w:hAnsi="Arial" w:cs="Arial"/>
          <w:b/>
          <w:sz w:val="22"/>
          <w:szCs w:val="22"/>
          <w:lang w:val="en-GB"/>
        </w:rPr>
        <w:t>Seasonal or cyclicality of interim operations</w:t>
      </w:r>
    </w:p>
    <w:p w:rsidR="00672834" w:rsidRDefault="00672834">
      <w:pPr>
        <w:jc w:val="both"/>
        <w:rPr>
          <w:rFonts w:ascii="Arial" w:hAnsi="Arial" w:cs="Arial"/>
          <w:lang w:val="en-GB"/>
        </w:rPr>
      </w:pPr>
    </w:p>
    <w:p w:rsidR="00672834" w:rsidRDefault="00672834">
      <w:pPr>
        <w:ind w:left="735"/>
        <w:jc w:val="both"/>
        <w:rPr>
          <w:rFonts w:ascii="Arial" w:hAnsi="Arial" w:cs="Arial"/>
          <w:lang w:val="en-GB"/>
        </w:rPr>
      </w:pPr>
      <w:r>
        <w:rPr>
          <w:rFonts w:ascii="Arial" w:hAnsi="Arial" w:cs="Arial"/>
          <w:sz w:val="22"/>
          <w:lang w:val="en-GB"/>
        </w:rPr>
        <w:t xml:space="preserve">The business operations of the Group are not significantly affected by any seasonal or cyclical factors. </w:t>
      </w:r>
    </w:p>
    <w:p w:rsidR="00672834" w:rsidRDefault="00672834">
      <w:pPr>
        <w:rPr>
          <w:rFonts w:ascii="Arial" w:hAnsi="Arial" w:cs="Arial"/>
          <w:lang w:val="en-GB"/>
        </w:rPr>
      </w:pPr>
    </w:p>
    <w:p w:rsidR="00672834" w:rsidRDefault="00672834">
      <w:pPr>
        <w:numPr>
          <w:ilvl w:val="0"/>
          <w:numId w:val="2"/>
        </w:numPr>
        <w:tabs>
          <w:tab w:val="left" w:pos="360"/>
        </w:tabs>
        <w:ind w:left="360"/>
        <w:jc w:val="both"/>
        <w:rPr>
          <w:rFonts w:ascii="Arial" w:hAnsi="Arial" w:cs="Arial"/>
          <w:lang w:val="en-GB"/>
        </w:rPr>
      </w:pPr>
      <w:r>
        <w:rPr>
          <w:rFonts w:ascii="Arial" w:hAnsi="Arial" w:cs="Arial"/>
          <w:b/>
          <w:sz w:val="22"/>
          <w:szCs w:val="22"/>
          <w:lang w:val="en-GB"/>
        </w:rPr>
        <w:t>Unusual Items Due to Their Nature, Size or Incidence</w:t>
      </w:r>
    </w:p>
    <w:p w:rsidR="00672834" w:rsidRDefault="00672834">
      <w:pPr>
        <w:ind w:left="731"/>
        <w:jc w:val="both"/>
        <w:rPr>
          <w:rFonts w:ascii="Arial" w:hAnsi="Arial" w:cs="Arial"/>
          <w:lang w:val="en-GB"/>
        </w:rPr>
      </w:pPr>
    </w:p>
    <w:p w:rsidR="00672834" w:rsidRDefault="00672834">
      <w:pPr>
        <w:ind w:left="731"/>
        <w:jc w:val="both"/>
        <w:rPr>
          <w:rFonts w:ascii="Arial" w:hAnsi="Arial" w:cs="Arial"/>
          <w:lang w:val="en-GB"/>
        </w:rPr>
      </w:pPr>
      <w:r>
        <w:rPr>
          <w:rFonts w:ascii="Arial" w:hAnsi="Arial" w:cs="Arial"/>
          <w:sz w:val="22"/>
          <w:szCs w:val="22"/>
          <w:lang w:val="en-GB"/>
        </w:rPr>
        <w:t xml:space="preserve">There were no items affecting assets, liabilities, equity, net income, or cash flows that were unusual because of their nature, size, or incidence during the current quarter. </w:t>
      </w:r>
    </w:p>
    <w:p w:rsidR="00672834" w:rsidRDefault="00672834">
      <w:pPr>
        <w:ind w:left="731"/>
        <w:jc w:val="both"/>
        <w:rPr>
          <w:rFonts w:ascii="Arial" w:hAnsi="Arial" w:cs="Arial"/>
          <w:lang w:val="en-GB"/>
        </w:rPr>
      </w:pPr>
    </w:p>
    <w:p w:rsidR="00672834" w:rsidRDefault="00672834">
      <w:pPr>
        <w:numPr>
          <w:ilvl w:val="0"/>
          <w:numId w:val="2"/>
        </w:numPr>
        <w:tabs>
          <w:tab w:val="left" w:pos="360"/>
          <w:tab w:val="left" w:pos="705"/>
        </w:tabs>
        <w:ind w:left="360"/>
        <w:jc w:val="both"/>
        <w:rPr>
          <w:rFonts w:ascii="Arial" w:hAnsi="Arial" w:cs="Arial"/>
          <w:lang w:val="en-GB"/>
        </w:rPr>
      </w:pPr>
      <w:r>
        <w:rPr>
          <w:rFonts w:ascii="Arial" w:hAnsi="Arial" w:cs="Arial"/>
          <w:b/>
          <w:sz w:val="22"/>
          <w:szCs w:val="22"/>
          <w:lang w:val="en-GB"/>
        </w:rPr>
        <w:t>Changes in Estimates</w:t>
      </w:r>
    </w:p>
    <w:p w:rsidR="00672834" w:rsidRDefault="00672834">
      <w:pPr>
        <w:tabs>
          <w:tab w:val="left" w:pos="735"/>
        </w:tabs>
        <w:ind w:left="360"/>
        <w:jc w:val="both"/>
        <w:rPr>
          <w:rFonts w:ascii="Arial" w:hAnsi="Arial" w:cs="Arial"/>
          <w:lang w:val="en-GB"/>
        </w:rPr>
      </w:pPr>
    </w:p>
    <w:p w:rsidR="00672834" w:rsidRDefault="00672834">
      <w:pPr>
        <w:ind w:left="705"/>
        <w:jc w:val="both"/>
      </w:pPr>
      <w:r>
        <w:rPr>
          <w:rFonts w:ascii="Arial" w:hAnsi="Arial" w:cs="Arial"/>
          <w:sz w:val="22"/>
          <w:lang w:val="en-GB"/>
        </w:rPr>
        <w:t xml:space="preserve">There were no changes in estimates of amounts that have a material effect in the current quarter. </w:t>
      </w:r>
    </w:p>
    <w:p w:rsidR="00672834" w:rsidRDefault="00672834">
      <w:pPr>
        <w:ind w:left="750"/>
        <w:jc w:val="both"/>
      </w:pPr>
    </w:p>
    <w:p w:rsidR="00672834" w:rsidRDefault="00672834">
      <w:pPr>
        <w:numPr>
          <w:ilvl w:val="0"/>
          <w:numId w:val="2"/>
        </w:numPr>
        <w:tabs>
          <w:tab w:val="left" w:pos="360"/>
        </w:tabs>
        <w:ind w:left="360"/>
        <w:jc w:val="both"/>
        <w:rPr>
          <w:rFonts w:ascii="Arial" w:hAnsi="Arial" w:cs="Arial"/>
          <w:lang w:val="en-GB"/>
        </w:rPr>
      </w:pPr>
      <w:r>
        <w:rPr>
          <w:rFonts w:ascii="Arial" w:hAnsi="Arial" w:cs="Arial"/>
          <w:b/>
          <w:sz w:val="22"/>
          <w:szCs w:val="22"/>
          <w:lang w:val="en-GB"/>
        </w:rPr>
        <w:t xml:space="preserve">Debt and Equity Securities </w:t>
      </w:r>
    </w:p>
    <w:p w:rsidR="00672834" w:rsidRDefault="00672834">
      <w:pPr>
        <w:jc w:val="both"/>
        <w:rPr>
          <w:rFonts w:ascii="Arial" w:hAnsi="Arial" w:cs="Arial"/>
          <w:lang w:val="en-GB"/>
        </w:rPr>
      </w:pPr>
    </w:p>
    <w:p w:rsidR="00672834" w:rsidRDefault="00672834">
      <w:pPr>
        <w:ind w:left="705"/>
        <w:jc w:val="both"/>
        <w:rPr>
          <w:rFonts w:ascii="Arial" w:hAnsi="Arial" w:cs="Arial"/>
          <w:lang w:val="en-GB"/>
        </w:rPr>
      </w:pPr>
      <w:r>
        <w:rPr>
          <w:rFonts w:ascii="Arial" w:hAnsi="Arial" w:cs="Arial"/>
          <w:sz w:val="22"/>
          <w:szCs w:val="22"/>
          <w:lang w:val="en-GB"/>
        </w:rPr>
        <w:t xml:space="preserve">There were no issuances, cancellations, repurchase, resale or repayment of debt and equity securities in the current quarter. </w:t>
      </w:r>
    </w:p>
    <w:p w:rsidR="00672834" w:rsidRDefault="00672834">
      <w:pPr>
        <w:ind w:left="705"/>
        <w:jc w:val="both"/>
        <w:rPr>
          <w:rFonts w:ascii="Arial" w:hAnsi="Arial" w:cs="Arial"/>
          <w:lang w:val="en-GB"/>
        </w:rPr>
      </w:pPr>
    </w:p>
    <w:p w:rsidR="00672834" w:rsidRDefault="00672834">
      <w:pPr>
        <w:numPr>
          <w:ilvl w:val="0"/>
          <w:numId w:val="2"/>
        </w:numPr>
        <w:tabs>
          <w:tab w:val="left" w:pos="360"/>
        </w:tabs>
        <w:ind w:left="360"/>
        <w:jc w:val="both"/>
        <w:rPr>
          <w:rFonts w:ascii="Arial" w:hAnsi="Arial" w:cs="Arial"/>
          <w:sz w:val="22"/>
          <w:szCs w:val="22"/>
          <w:lang w:val="en-GB"/>
        </w:rPr>
      </w:pPr>
      <w:r>
        <w:rPr>
          <w:rFonts w:ascii="Arial" w:hAnsi="Arial" w:cs="Arial"/>
          <w:b/>
          <w:sz w:val="22"/>
          <w:szCs w:val="22"/>
          <w:lang w:val="en-GB"/>
        </w:rPr>
        <w:t>Dividends Paid</w:t>
      </w:r>
    </w:p>
    <w:p w:rsidR="00672834" w:rsidRDefault="00672834">
      <w:pPr>
        <w:jc w:val="both"/>
        <w:rPr>
          <w:rFonts w:ascii="Arial" w:hAnsi="Arial" w:cs="Arial"/>
          <w:sz w:val="22"/>
          <w:szCs w:val="22"/>
          <w:lang w:val="en-GB"/>
        </w:rPr>
      </w:pPr>
    </w:p>
    <w:p w:rsidR="00672834" w:rsidRDefault="00672834">
      <w:pPr>
        <w:tabs>
          <w:tab w:val="left" w:pos="720"/>
        </w:tabs>
        <w:jc w:val="both"/>
        <w:rPr>
          <w:rFonts w:ascii="Arial" w:hAnsi="Arial" w:cs="Arial"/>
          <w:lang w:val="en-GB"/>
        </w:rPr>
      </w:pPr>
      <w:r>
        <w:rPr>
          <w:rFonts w:ascii="Arial" w:hAnsi="Arial" w:cs="Arial"/>
          <w:sz w:val="22"/>
          <w:szCs w:val="22"/>
          <w:lang w:val="en-GB"/>
        </w:rPr>
        <w:t xml:space="preserve">            No dividend was paid in the current quarter under review. </w:t>
      </w:r>
    </w:p>
    <w:p w:rsidR="00672834" w:rsidRDefault="00672834">
      <w:pPr>
        <w:jc w:val="both"/>
        <w:rPr>
          <w:rFonts w:ascii="Arial" w:hAnsi="Arial" w:cs="Arial"/>
          <w:lang w:val="en-GB"/>
        </w:rPr>
      </w:pPr>
    </w:p>
    <w:p w:rsidR="00672834" w:rsidRDefault="00672834">
      <w:pPr>
        <w:numPr>
          <w:ilvl w:val="0"/>
          <w:numId w:val="2"/>
        </w:numPr>
        <w:tabs>
          <w:tab w:val="left" w:pos="360"/>
        </w:tabs>
        <w:ind w:left="360"/>
        <w:jc w:val="both"/>
        <w:rPr>
          <w:rFonts w:ascii="Arial" w:hAnsi="Arial" w:cs="Arial"/>
          <w:sz w:val="22"/>
          <w:szCs w:val="22"/>
          <w:lang w:val="en-GB"/>
        </w:rPr>
      </w:pPr>
      <w:r>
        <w:rPr>
          <w:rFonts w:ascii="Arial" w:hAnsi="Arial" w:cs="Arial"/>
          <w:b/>
          <w:sz w:val="22"/>
          <w:szCs w:val="22"/>
          <w:lang w:val="en-GB"/>
        </w:rPr>
        <w:t>Segmental Information</w:t>
      </w:r>
    </w:p>
    <w:p w:rsidR="00672834" w:rsidRDefault="00672834">
      <w:pPr>
        <w:ind w:left="360"/>
        <w:jc w:val="both"/>
        <w:rPr>
          <w:rFonts w:ascii="Arial" w:hAnsi="Arial" w:cs="Arial"/>
          <w:sz w:val="22"/>
          <w:szCs w:val="22"/>
          <w:lang w:val="en-GB"/>
        </w:rPr>
      </w:pPr>
    </w:p>
    <w:p w:rsidR="00672834" w:rsidRDefault="00672834">
      <w:pPr>
        <w:ind w:left="735"/>
        <w:jc w:val="both"/>
        <w:rPr>
          <w:rFonts w:ascii="Arial" w:hAnsi="Arial" w:cs="Arial"/>
          <w:sz w:val="22"/>
          <w:szCs w:val="22"/>
        </w:rPr>
      </w:pPr>
      <w:r>
        <w:rPr>
          <w:rFonts w:ascii="Arial" w:hAnsi="Arial" w:cs="Arial"/>
          <w:sz w:val="22"/>
          <w:szCs w:val="22"/>
        </w:rPr>
        <w:t xml:space="preserve">There was no segmental analysis for the period under review as the Company is principally involved in poultry farming for the production of eggs for sale, which is predominantly carried out in Malaysia. </w:t>
      </w:r>
    </w:p>
    <w:p w:rsidR="00672834" w:rsidRDefault="00672834">
      <w:pPr>
        <w:ind w:left="360"/>
        <w:jc w:val="both"/>
        <w:rPr>
          <w:rFonts w:ascii="Arial" w:hAnsi="Arial" w:cs="Arial"/>
          <w:sz w:val="22"/>
          <w:szCs w:val="22"/>
        </w:rPr>
      </w:pPr>
    </w:p>
    <w:p w:rsidR="00672834" w:rsidRDefault="00672834">
      <w:pPr>
        <w:numPr>
          <w:ilvl w:val="0"/>
          <w:numId w:val="2"/>
        </w:numPr>
        <w:tabs>
          <w:tab w:val="left" w:pos="360"/>
        </w:tabs>
        <w:ind w:left="360"/>
        <w:jc w:val="both"/>
        <w:rPr>
          <w:rFonts w:ascii="Arial" w:hAnsi="Arial" w:cs="Arial"/>
          <w:lang w:val="en-GB"/>
        </w:rPr>
      </w:pPr>
      <w:r>
        <w:rPr>
          <w:rFonts w:ascii="Arial" w:hAnsi="Arial" w:cs="Arial"/>
          <w:b/>
          <w:sz w:val="22"/>
          <w:szCs w:val="22"/>
          <w:lang w:val="en-GB"/>
        </w:rPr>
        <w:lastRenderedPageBreak/>
        <w:t xml:space="preserve"> Valuation of Property, Plant and Equipment</w:t>
      </w:r>
    </w:p>
    <w:p w:rsidR="00672834" w:rsidRDefault="00672834">
      <w:pPr>
        <w:ind w:left="360"/>
        <w:jc w:val="both"/>
        <w:rPr>
          <w:rFonts w:ascii="Arial" w:hAnsi="Arial" w:cs="Arial"/>
          <w:lang w:val="en-GB"/>
        </w:rPr>
      </w:pPr>
    </w:p>
    <w:p w:rsidR="00672834" w:rsidRDefault="00672834">
      <w:pPr>
        <w:ind w:left="780"/>
        <w:jc w:val="both"/>
        <w:rPr>
          <w:rFonts w:ascii="Arial" w:hAnsi="Arial" w:cs="Arial"/>
        </w:rPr>
      </w:pPr>
      <w:r>
        <w:rPr>
          <w:rFonts w:ascii="Arial" w:hAnsi="Arial" w:cs="Arial"/>
          <w:sz w:val="22"/>
        </w:rPr>
        <w:t>There were no valuations carried out on property, plant and equipment of the Group during period ended 31 December 2013.</w:t>
      </w:r>
    </w:p>
    <w:p w:rsidR="00672834" w:rsidRDefault="00672834">
      <w:pPr>
        <w:ind w:left="360"/>
        <w:jc w:val="both"/>
        <w:rPr>
          <w:rFonts w:ascii="Arial" w:hAnsi="Arial" w:cs="Arial"/>
        </w:rPr>
      </w:pPr>
    </w:p>
    <w:p w:rsidR="00672834" w:rsidRDefault="00672834">
      <w:pPr>
        <w:numPr>
          <w:ilvl w:val="0"/>
          <w:numId w:val="2"/>
        </w:numPr>
        <w:tabs>
          <w:tab w:val="left" w:pos="360"/>
        </w:tabs>
        <w:ind w:left="360"/>
        <w:jc w:val="both"/>
        <w:rPr>
          <w:rFonts w:ascii="Arial" w:hAnsi="Arial" w:cs="Arial"/>
          <w:sz w:val="22"/>
          <w:szCs w:val="22"/>
          <w:lang w:val="en-GB"/>
        </w:rPr>
      </w:pPr>
      <w:r>
        <w:rPr>
          <w:rFonts w:ascii="Arial" w:hAnsi="Arial" w:cs="Arial"/>
          <w:b/>
          <w:sz w:val="22"/>
          <w:szCs w:val="22"/>
          <w:lang w:val="en-GB"/>
        </w:rPr>
        <w:t xml:space="preserve"> Material Events subsequent to the end of the Current Quarter </w:t>
      </w:r>
    </w:p>
    <w:p w:rsidR="00672834" w:rsidRDefault="00672834">
      <w:pPr>
        <w:ind w:left="360"/>
        <w:jc w:val="both"/>
        <w:rPr>
          <w:rFonts w:ascii="Arial" w:hAnsi="Arial" w:cs="Arial"/>
          <w:sz w:val="22"/>
          <w:szCs w:val="22"/>
          <w:lang w:val="en-GB"/>
        </w:rPr>
      </w:pPr>
    </w:p>
    <w:p w:rsidR="00672834" w:rsidRDefault="00672834">
      <w:pPr>
        <w:ind w:left="795"/>
        <w:jc w:val="both"/>
        <w:rPr>
          <w:rFonts w:ascii="Arial" w:hAnsi="Arial" w:cs="Arial"/>
          <w:lang w:val="en-GB"/>
        </w:rPr>
      </w:pPr>
      <w:r>
        <w:rPr>
          <w:rFonts w:ascii="Arial" w:hAnsi="Arial" w:cs="Arial"/>
          <w:sz w:val="22"/>
          <w:szCs w:val="22"/>
        </w:rPr>
        <w:t xml:space="preserve">There were no material events subsequent to the end of the current quarter that has not been reflected in the financial statements, made up to a date not earlier than 7 days from the date of the issuance of this quarterly report. </w:t>
      </w:r>
    </w:p>
    <w:p w:rsidR="00672834" w:rsidRDefault="00672834">
      <w:pPr>
        <w:ind w:left="360"/>
        <w:jc w:val="both"/>
        <w:rPr>
          <w:rFonts w:ascii="Arial" w:hAnsi="Arial" w:cs="Arial"/>
          <w:lang w:val="en-GB"/>
        </w:rPr>
      </w:pPr>
    </w:p>
    <w:p w:rsidR="00672834" w:rsidRDefault="00672834">
      <w:pPr>
        <w:numPr>
          <w:ilvl w:val="0"/>
          <w:numId w:val="2"/>
        </w:numPr>
        <w:tabs>
          <w:tab w:val="left" w:pos="360"/>
        </w:tabs>
        <w:ind w:left="360"/>
        <w:jc w:val="both"/>
        <w:rPr>
          <w:rFonts w:ascii="Arial" w:hAnsi="Arial" w:cs="Arial"/>
        </w:rPr>
      </w:pPr>
      <w:r>
        <w:rPr>
          <w:rFonts w:ascii="Arial" w:hAnsi="Arial" w:cs="Arial"/>
          <w:b/>
          <w:sz w:val="22"/>
          <w:szCs w:val="22"/>
          <w:lang w:val="en-GB"/>
        </w:rPr>
        <w:t xml:space="preserve"> Change in the Composition of the Group</w:t>
      </w:r>
    </w:p>
    <w:p w:rsidR="00672834" w:rsidRDefault="00672834">
      <w:pPr>
        <w:jc w:val="both"/>
        <w:rPr>
          <w:rFonts w:ascii="Arial" w:hAnsi="Arial" w:cs="Arial"/>
        </w:rPr>
      </w:pPr>
    </w:p>
    <w:p w:rsidR="00672834" w:rsidRDefault="00672834">
      <w:pPr>
        <w:ind w:left="810"/>
        <w:jc w:val="both"/>
        <w:rPr>
          <w:rFonts w:ascii="Arial" w:hAnsi="Arial" w:cs="Arial"/>
          <w:lang w:val="en-GB"/>
        </w:rPr>
      </w:pPr>
      <w:r>
        <w:rPr>
          <w:rFonts w:ascii="Arial" w:hAnsi="Arial" w:cs="Arial"/>
          <w:sz w:val="22"/>
          <w:szCs w:val="22"/>
        </w:rPr>
        <w:t xml:space="preserve">There were no material changes in the composition of the Group for the current financial quarter under review. </w:t>
      </w:r>
    </w:p>
    <w:p w:rsidR="00672834" w:rsidRDefault="00672834">
      <w:pPr>
        <w:ind w:left="765"/>
        <w:jc w:val="both"/>
        <w:rPr>
          <w:rFonts w:ascii="Arial" w:hAnsi="Arial" w:cs="Arial"/>
          <w:lang w:val="en-GB"/>
        </w:rPr>
      </w:pPr>
    </w:p>
    <w:p w:rsidR="00672834" w:rsidRDefault="00672834">
      <w:pPr>
        <w:numPr>
          <w:ilvl w:val="0"/>
          <w:numId w:val="2"/>
        </w:numPr>
        <w:tabs>
          <w:tab w:val="left" w:pos="360"/>
          <w:tab w:val="left" w:pos="795"/>
        </w:tabs>
        <w:ind w:left="360"/>
        <w:jc w:val="both"/>
        <w:rPr>
          <w:rFonts w:ascii="Arial" w:hAnsi="Arial" w:cs="Arial"/>
          <w:b/>
          <w:lang w:val="en-GB"/>
        </w:rPr>
      </w:pPr>
      <w:r>
        <w:rPr>
          <w:rFonts w:ascii="Arial" w:hAnsi="Arial" w:cs="Arial"/>
          <w:b/>
          <w:sz w:val="22"/>
          <w:szCs w:val="22"/>
          <w:lang w:val="en-GB"/>
        </w:rPr>
        <w:t xml:space="preserve">Events after interim period </w:t>
      </w:r>
    </w:p>
    <w:p w:rsidR="00672834" w:rsidRDefault="00672834">
      <w:pPr>
        <w:tabs>
          <w:tab w:val="left" w:pos="360"/>
        </w:tabs>
        <w:ind w:left="360"/>
        <w:jc w:val="both"/>
        <w:rPr>
          <w:rFonts w:ascii="Arial" w:hAnsi="Arial" w:cs="Arial"/>
          <w:b/>
          <w:lang w:val="en-GB"/>
        </w:rPr>
      </w:pPr>
    </w:p>
    <w:p w:rsidR="00672834" w:rsidRDefault="00672834">
      <w:pPr>
        <w:tabs>
          <w:tab w:val="left" w:pos="800"/>
        </w:tabs>
        <w:ind w:left="800"/>
        <w:jc w:val="both"/>
        <w:rPr>
          <w:rFonts w:ascii="Arial" w:hAnsi="Arial" w:cs="Arial"/>
          <w:b/>
          <w:lang w:val="en-GB"/>
        </w:rPr>
      </w:pPr>
      <w:r>
        <w:rPr>
          <w:rFonts w:ascii="Arial" w:hAnsi="Arial" w:cs="Arial"/>
          <w:sz w:val="22"/>
          <w:szCs w:val="22"/>
          <w:lang w:val="en-GB"/>
        </w:rPr>
        <w:t>There are no material events that have arisen in the interval between the end of the current quarter ended 31 December 2013 to the date of this announcement, which would substantially affect the financial results of the Group for the current quarter and the financial year to date.</w:t>
      </w:r>
    </w:p>
    <w:p w:rsidR="00672834" w:rsidRDefault="00672834">
      <w:pPr>
        <w:tabs>
          <w:tab w:val="left" w:pos="800"/>
        </w:tabs>
        <w:ind w:left="800"/>
        <w:jc w:val="both"/>
        <w:rPr>
          <w:rFonts w:ascii="Arial" w:hAnsi="Arial" w:cs="Arial"/>
          <w:b/>
          <w:lang w:val="en-GB"/>
        </w:rPr>
      </w:pPr>
    </w:p>
    <w:p w:rsidR="00672834" w:rsidRDefault="00672834">
      <w:pPr>
        <w:numPr>
          <w:ilvl w:val="0"/>
          <w:numId w:val="2"/>
        </w:numPr>
        <w:tabs>
          <w:tab w:val="left" w:pos="360"/>
        </w:tabs>
        <w:ind w:left="360"/>
        <w:jc w:val="both"/>
        <w:rPr>
          <w:rFonts w:ascii="Arial" w:hAnsi="Arial" w:cs="Arial"/>
          <w:b/>
          <w:lang w:val="en-GB"/>
        </w:rPr>
      </w:pPr>
      <w:r>
        <w:rPr>
          <w:rFonts w:ascii="Arial" w:hAnsi="Arial" w:cs="Arial"/>
          <w:b/>
          <w:sz w:val="22"/>
          <w:szCs w:val="22"/>
          <w:lang w:val="en-GB"/>
        </w:rPr>
        <w:t xml:space="preserve"> Changes in composition of the Group</w:t>
      </w:r>
    </w:p>
    <w:p w:rsidR="00672834" w:rsidRDefault="00672834">
      <w:pPr>
        <w:tabs>
          <w:tab w:val="left" w:pos="360"/>
        </w:tabs>
        <w:ind w:left="360"/>
        <w:jc w:val="both"/>
        <w:rPr>
          <w:rFonts w:ascii="Arial" w:hAnsi="Arial" w:cs="Arial"/>
          <w:b/>
          <w:lang w:val="en-GB"/>
        </w:rPr>
      </w:pPr>
    </w:p>
    <w:p w:rsidR="00672834" w:rsidRDefault="00672834">
      <w:pPr>
        <w:tabs>
          <w:tab w:val="left" w:pos="800"/>
        </w:tabs>
        <w:ind w:left="800"/>
        <w:jc w:val="both"/>
        <w:rPr>
          <w:rFonts w:ascii="Arial" w:hAnsi="Arial" w:cs="Arial"/>
          <w:lang w:val="en-GB"/>
        </w:rPr>
      </w:pPr>
      <w:r>
        <w:rPr>
          <w:rFonts w:ascii="Arial" w:hAnsi="Arial" w:cs="Arial"/>
          <w:sz w:val="22"/>
          <w:szCs w:val="22"/>
          <w:lang w:val="en-GB"/>
        </w:rPr>
        <w:t>There were no changes in the composition of the group during the quarter.</w:t>
      </w:r>
    </w:p>
    <w:p w:rsidR="00672834" w:rsidRDefault="00672834">
      <w:pPr>
        <w:tabs>
          <w:tab w:val="left" w:pos="360"/>
        </w:tabs>
        <w:ind w:left="360"/>
        <w:jc w:val="both"/>
        <w:rPr>
          <w:rFonts w:ascii="Arial" w:hAnsi="Arial" w:cs="Arial"/>
          <w:lang w:val="en-GB"/>
        </w:rPr>
      </w:pPr>
    </w:p>
    <w:p w:rsidR="00672834" w:rsidRDefault="00672834">
      <w:pPr>
        <w:numPr>
          <w:ilvl w:val="0"/>
          <w:numId w:val="2"/>
        </w:numPr>
        <w:tabs>
          <w:tab w:val="left" w:pos="360"/>
        </w:tabs>
        <w:ind w:left="360"/>
        <w:jc w:val="both"/>
        <w:rPr>
          <w:rFonts w:ascii="Arial" w:hAnsi="Arial" w:cs="Arial"/>
          <w:lang w:val="en-GB"/>
        </w:rPr>
      </w:pPr>
      <w:r>
        <w:rPr>
          <w:rFonts w:ascii="Arial" w:hAnsi="Arial" w:cs="Arial"/>
          <w:b/>
          <w:sz w:val="22"/>
          <w:szCs w:val="22"/>
          <w:lang w:val="en-GB"/>
        </w:rPr>
        <w:t xml:space="preserve"> Change in Contingent Liabilities and Contingent Assets</w:t>
      </w:r>
    </w:p>
    <w:p w:rsidR="00672834" w:rsidRDefault="00672834">
      <w:pPr>
        <w:ind w:left="750"/>
        <w:jc w:val="both"/>
        <w:rPr>
          <w:rFonts w:ascii="Arial" w:hAnsi="Arial" w:cs="Arial"/>
          <w:lang w:val="en-GB"/>
        </w:rPr>
      </w:pPr>
    </w:p>
    <w:p w:rsidR="00672834" w:rsidRDefault="00672834">
      <w:pPr>
        <w:ind w:left="780"/>
        <w:jc w:val="both"/>
        <w:rPr>
          <w:rFonts w:ascii="Arial" w:hAnsi="Arial" w:cs="Arial"/>
          <w:sz w:val="22"/>
          <w:szCs w:val="22"/>
          <w:lang w:val="en-GB"/>
        </w:rPr>
      </w:pPr>
      <w:r>
        <w:rPr>
          <w:rFonts w:ascii="Arial" w:hAnsi="Arial" w:cs="Arial"/>
          <w:sz w:val="22"/>
          <w:szCs w:val="22"/>
          <w:lang w:val="en-GB"/>
        </w:rPr>
        <w:t xml:space="preserve">There were no material changes in the contingent liabilities and contingent assets for the current financial period. </w:t>
      </w:r>
    </w:p>
    <w:p w:rsidR="00672834" w:rsidRDefault="00672834">
      <w:pPr>
        <w:jc w:val="both"/>
        <w:rPr>
          <w:rFonts w:ascii="Arial" w:hAnsi="Arial" w:cs="Arial"/>
          <w:sz w:val="22"/>
          <w:szCs w:val="22"/>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jc w:val="both"/>
        <w:rPr>
          <w:rFonts w:ascii="Arial" w:hAnsi="Arial" w:cs="Arial"/>
          <w:b/>
          <w:lang w:val="en-GB"/>
        </w:rPr>
      </w:pPr>
    </w:p>
    <w:p w:rsidR="00672834" w:rsidRDefault="00672834">
      <w:pPr>
        <w:ind w:left="1317" w:hanging="1333"/>
        <w:jc w:val="both"/>
        <w:rPr>
          <w:sz w:val="20"/>
          <w:lang w:val="en-GB"/>
        </w:rPr>
      </w:pPr>
      <w:r>
        <w:rPr>
          <w:rFonts w:ascii="Arial" w:hAnsi="Arial" w:cs="Arial"/>
          <w:b/>
          <w:lang w:val="en-GB"/>
        </w:rPr>
        <w:lastRenderedPageBreak/>
        <w:t>Part B - Explanatory Notes Pursuant to Appendix 9B of the Listing Requirements of Bursa Malaysia Securities Berhad</w:t>
      </w:r>
    </w:p>
    <w:p w:rsidR="00672834" w:rsidRDefault="00672834">
      <w:pPr>
        <w:rPr>
          <w:sz w:val="20"/>
          <w:lang w:val="en-GB"/>
        </w:rPr>
      </w:pPr>
    </w:p>
    <w:p w:rsidR="00672834" w:rsidRDefault="00672834">
      <w:pPr>
        <w:numPr>
          <w:ilvl w:val="0"/>
          <w:numId w:val="2"/>
        </w:numPr>
        <w:tabs>
          <w:tab w:val="left" w:pos="360"/>
        </w:tabs>
        <w:ind w:left="360"/>
        <w:rPr>
          <w:rFonts w:ascii="Arial" w:hAnsi="Arial" w:cs="Arial"/>
          <w:sz w:val="22"/>
          <w:szCs w:val="22"/>
        </w:rPr>
      </w:pPr>
      <w:r>
        <w:rPr>
          <w:rFonts w:ascii="Arial" w:hAnsi="Arial" w:cs="Arial"/>
          <w:b/>
          <w:sz w:val="22"/>
          <w:szCs w:val="22"/>
          <w:lang w:val="en-GB"/>
        </w:rPr>
        <w:t xml:space="preserve">  Performance Review</w:t>
      </w:r>
    </w:p>
    <w:p w:rsidR="00672834" w:rsidRDefault="00672834">
      <w:pPr>
        <w:ind w:left="750"/>
        <w:jc w:val="both"/>
        <w:rPr>
          <w:rFonts w:ascii="Arial" w:hAnsi="Arial" w:cs="Arial"/>
          <w:sz w:val="22"/>
          <w:szCs w:val="22"/>
        </w:rPr>
      </w:pPr>
    </w:p>
    <w:p w:rsidR="00672834" w:rsidRDefault="00672834">
      <w:pPr>
        <w:ind w:left="855"/>
        <w:jc w:val="both"/>
        <w:rPr>
          <w:rFonts w:ascii="Arial" w:hAnsi="Arial" w:cs="Arial"/>
          <w:b/>
          <w:lang w:val="en-GB"/>
        </w:rPr>
      </w:pPr>
      <w:r>
        <w:rPr>
          <w:rFonts w:ascii="Arial" w:hAnsi="Arial" w:cs="Arial"/>
          <w:sz w:val="22"/>
          <w:szCs w:val="22"/>
        </w:rPr>
        <w:t>For the current year quarter ended 31 March 2014, the</w:t>
      </w:r>
      <w:r w:rsidR="00CF52CD">
        <w:rPr>
          <w:rFonts w:ascii="Arial" w:hAnsi="Arial" w:cs="Arial"/>
          <w:sz w:val="22"/>
          <w:szCs w:val="22"/>
        </w:rPr>
        <w:t xml:space="preserve"> Group generated a revenue RM21,</w:t>
      </w:r>
      <w:r>
        <w:rPr>
          <w:rFonts w:ascii="Arial" w:hAnsi="Arial" w:cs="Arial"/>
          <w:sz w:val="22"/>
          <w:szCs w:val="22"/>
        </w:rPr>
        <w:t>0</w:t>
      </w:r>
      <w:r w:rsidR="00CF52CD">
        <w:rPr>
          <w:rFonts w:ascii="Arial" w:hAnsi="Arial" w:cs="Arial"/>
          <w:sz w:val="22"/>
          <w:szCs w:val="22"/>
        </w:rPr>
        <w:t>31 million which represent 25.53</w:t>
      </w:r>
      <w:r>
        <w:rPr>
          <w:rFonts w:ascii="Arial" w:hAnsi="Arial" w:cs="Arial"/>
          <w:sz w:val="22"/>
          <w:szCs w:val="22"/>
        </w:rPr>
        <w:t>% increase over that of RM16,754 million achieved in the preceding year corresponding quarter. The Group recorded a</w:t>
      </w:r>
      <w:r w:rsidR="00CF52CD">
        <w:rPr>
          <w:rFonts w:ascii="Arial" w:hAnsi="Arial" w:cs="Arial"/>
          <w:sz w:val="22"/>
          <w:szCs w:val="22"/>
        </w:rPr>
        <w:t xml:space="preserve"> profit after income tax of RM1,</w:t>
      </w:r>
      <w:r>
        <w:rPr>
          <w:rFonts w:ascii="Arial" w:hAnsi="Arial" w:cs="Arial"/>
          <w:sz w:val="22"/>
          <w:szCs w:val="22"/>
        </w:rPr>
        <w:t xml:space="preserve">657 million for the 3 months period ended 31 March 2014. </w:t>
      </w:r>
      <w:r>
        <w:rPr>
          <w:rFonts w:ascii="Arial" w:hAnsi="Arial" w:cs="Arial"/>
          <w:b/>
          <w:bCs/>
          <w:sz w:val="22"/>
          <w:szCs w:val="22"/>
        </w:rPr>
        <w:t>Profit for 3 months period ended 31 March 2014 was due to increase in quantities and better price of eggs during the current quarter.</w:t>
      </w:r>
    </w:p>
    <w:p w:rsidR="00672834" w:rsidRDefault="00672834">
      <w:pPr>
        <w:rPr>
          <w:rFonts w:ascii="Arial" w:hAnsi="Arial" w:cs="Arial"/>
          <w:b/>
          <w:lang w:val="en-GB"/>
        </w:rPr>
      </w:pPr>
    </w:p>
    <w:p w:rsidR="00672834" w:rsidRDefault="00672834">
      <w:pPr>
        <w:numPr>
          <w:ilvl w:val="0"/>
          <w:numId w:val="2"/>
        </w:numPr>
        <w:tabs>
          <w:tab w:val="left" w:pos="394"/>
          <w:tab w:val="left" w:pos="750"/>
        </w:tabs>
        <w:ind w:left="394"/>
        <w:jc w:val="both"/>
        <w:rPr>
          <w:rFonts w:ascii="Arial" w:hAnsi="Arial" w:cs="Arial"/>
          <w:b/>
          <w:sz w:val="22"/>
          <w:szCs w:val="22"/>
        </w:rPr>
      </w:pPr>
      <w:r>
        <w:rPr>
          <w:rFonts w:ascii="Arial" w:hAnsi="Arial" w:cs="Arial"/>
          <w:b/>
          <w:sz w:val="22"/>
          <w:szCs w:val="22"/>
        </w:rPr>
        <w:t xml:space="preserve">  Material Changes  In The Quarterly  Results Compared To The Results Of  The  </w:t>
      </w:r>
    </w:p>
    <w:p w:rsidR="00672834" w:rsidRDefault="00672834">
      <w:pPr>
        <w:tabs>
          <w:tab w:val="left" w:pos="394"/>
        </w:tabs>
        <w:ind w:left="394"/>
        <w:jc w:val="both"/>
        <w:rPr>
          <w:rFonts w:ascii="Arial" w:hAnsi="Arial" w:cs="Arial"/>
          <w:sz w:val="22"/>
          <w:szCs w:val="22"/>
        </w:rPr>
      </w:pPr>
      <w:r>
        <w:rPr>
          <w:rFonts w:ascii="Arial" w:hAnsi="Arial" w:cs="Arial"/>
          <w:b/>
          <w:sz w:val="22"/>
          <w:szCs w:val="22"/>
        </w:rPr>
        <w:t xml:space="preserve">       Preceding Quarter</w:t>
      </w:r>
    </w:p>
    <w:p w:rsidR="00672834" w:rsidRDefault="00672834">
      <w:pPr>
        <w:ind w:left="360"/>
        <w:jc w:val="both"/>
        <w:rPr>
          <w:rFonts w:ascii="Arial" w:hAnsi="Arial" w:cs="Arial"/>
          <w:sz w:val="22"/>
          <w:szCs w:val="22"/>
        </w:rPr>
      </w:pPr>
    </w:p>
    <w:tbl>
      <w:tblPr>
        <w:tblW w:w="0" w:type="auto"/>
        <w:tblInd w:w="953" w:type="dxa"/>
        <w:tblLayout w:type="fixed"/>
        <w:tblLook w:val="0000"/>
      </w:tblPr>
      <w:tblGrid>
        <w:gridCol w:w="3330"/>
        <w:gridCol w:w="1620"/>
        <w:gridCol w:w="2109"/>
      </w:tblGrid>
      <w:tr w:rsidR="00672834">
        <w:tc>
          <w:tcPr>
            <w:tcW w:w="3330" w:type="dxa"/>
            <w:tcBorders>
              <w:top w:val="single" w:sz="4" w:space="0" w:color="000000"/>
              <w:left w:val="single" w:sz="4" w:space="0" w:color="000000"/>
            </w:tcBorders>
            <w:shd w:val="clear" w:color="auto" w:fill="auto"/>
          </w:tcPr>
          <w:p w:rsidR="00672834" w:rsidRDefault="00672834">
            <w:pPr>
              <w:snapToGrid w:val="0"/>
              <w:rPr>
                <w:rFonts w:ascii="Arial" w:hAnsi="Arial" w:cs="Arial"/>
                <w:b/>
                <w:sz w:val="22"/>
                <w:szCs w:val="22"/>
                <w:lang w:val="en-GB"/>
              </w:rPr>
            </w:pPr>
          </w:p>
        </w:tc>
        <w:tc>
          <w:tcPr>
            <w:tcW w:w="3729" w:type="dxa"/>
            <w:gridSpan w:val="2"/>
            <w:tcBorders>
              <w:top w:val="single" w:sz="4" w:space="0" w:color="000000"/>
              <w:left w:val="single" w:sz="4" w:space="0" w:color="000000"/>
              <w:bottom w:val="single" w:sz="4" w:space="0" w:color="000000"/>
              <w:right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Individual Period</w:t>
            </w:r>
          </w:p>
        </w:tc>
      </w:tr>
      <w:tr w:rsidR="00672834">
        <w:tc>
          <w:tcPr>
            <w:tcW w:w="3330" w:type="dxa"/>
            <w:tcBorders>
              <w:left w:val="single" w:sz="4" w:space="0" w:color="000000"/>
            </w:tcBorders>
            <w:shd w:val="clear" w:color="auto" w:fill="auto"/>
          </w:tcPr>
          <w:p w:rsidR="00672834" w:rsidRDefault="00672834">
            <w:pPr>
              <w:snapToGrid w:val="0"/>
              <w:rPr>
                <w:rFonts w:ascii="Arial" w:hAnsi="Arial" w:cs="Arial"/>
                <w:b/>
                <w:sz w:val="22"/>
                <w:szCs w:val="22"/>
                <w:lang w:val="en-GB"/>
              </w:rPr>
            </w:pPr>
          </w:p>
        </w:tc>
        <w:tc>
          <w:tcPr>
            <w:tcW w:w="1620" w:type="dxa"/>
            <w:tcBorders>
              <w:left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Current Quarter</w:t>
            </w:r>
          </w:p>
        </w:tc>
        <w:tc>
          <w:tcPr>
            <w:tcW w:w="2109" w:type="dxa"/>
            <w:tcBorders>
              <w:left w:val="single" w:sz="4" w:space="0" w:color="000000"/>
              <w:right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Immediate Preceding Quarter</w:t>
            </w:r>
          </w:p>
        </w:tc>
      </w:tr>
      <w:tr w:rsidR="00672834">
        <w:tc>
          <w:tcPr>
            <w:tcW w:w="3330" w:type="dxa"/>
            <w:tcBorders>
              <w:left w:val="single" w:sz="4" w:space="0" w:color="000000"/>
            </w:tcBorders>
            <w:shd w:val="clear" w:color="auto" w:fill="auto"/>
          </w:tcPr>
          <w:p w:rsidR="00672834" w:rsidRDefault="00672834">
            <w:pPr>
              <w:snapToGrid w:val="0"/>
              <w:rPr>
                <w:rFonts w:ascii="Arial" w:hAnsi="Arial" w:cs="Arial"/>
                <w:b/>
                <w:sz w:val="22"/>
                <w:szCs w:val="22"/>
                <w:lang w:val="en-GB"/>
              </w:rPr>
            </w:pPr>
          </w:p>
        </w:tc>
        <w:tc>
          <w:tcPr>
            <w:tcW w:w="1620"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31/3/14</w:t>
            </w:r>
          </w:p>
        </w:tc>
        <w:tc>
          <w:tcPr>
            <w:tcW w:w="2109" w:type="dxa"/>
            <w:tcBorders>
              <w:left w:val="single" w:sz="4" w:space="0" w:color="000000"/>
              <w:bottom w:val="single" w:sz="4" w:space="0" w:color="000000"/>
              <w:right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31/12/13</w:t>
            </w:r>
          </w:p>
        </w:tc>
      </w:tr>
      <w:tr w:rsidR="00672834">
        <w:tc>
          <w:tcPr>
            <w:tcW w:w="3330"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2"/>
                <w:szCs w:val="22"/>
                <w:lang w:val="en-GB"/>
              </w:rPr>
            </w:pPr>
          </w:p>
        </w:tc>
        <w:tc>
          <w:tcPr>
            <w:tcW w:w="1620"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RM’000</w:t>
            </w:r>
          </w:p>
        </w:tc>
        <w:tc>
          <w:tcPr>
            <w:tcW w:w="2109" w:type="dxa"/>
            <w:tcBorders>
              <w:left w:val="single" w:sz="4" w:space="0" w:color="000000"/>
              <w:bottom w:val="single" w:sz="4" w:space="0" w:color="000000"/>
              <w:right w:val="single" w:sz="4" w:space="0" w:color="000000"/>
            </w:tcBorders>
            <w:shd w:val="clear" w:color="auto" w:fill="auto"/>
          </w:tcPr>
          <w:p w:rsidR="00672834" w:rsidRDefault="00672834">
            <w:pPr>
              <w:snapToGrid w:val="0"/>
              <w:jc w:val="center"/>
              <w:rPr>
                <w:rFonts w:ascii="Arial" w:hAnsi="Arial" w:cs="Arial"/>
                <w:b/>
                <w:sz w:val="22"/>
                <w:szCs w:val="22"/>
                <w:lang w:val="en-GB"/>
              </w:rPr>
            </w:pPr>
            <w:r>
              <w:rPr>
                <w:rFonts w:ascii="Arial" w:hAnsi="Arial" w:cs="Arial"/>
                <w:b/>
                <w:sz w:val="22"/>
                <w:szCs w:val="22"/>
                <w:lang w:val="en-GB"/>
              </w:rPr>
              <w:t>RM’000</w:t>
            </w:r>
          </w:p>
        </w:tc>
      </w:tr>
      <w:tr w:rsidR="00672834">
        <w:tc>
          <w:tcPr>
            <w:tcW w:w="3330" w:type="dxa"/>
            <w:tcBorders>
              <w:left w:val="single" w:sz="4" w:space="0" w:color="000000"/>
            </w:tcBorders>
            <w:shd w:val="clear" w:color="auto" w:fill="auto"/>
          </w:tcPr>
          <w:p w:rsidR="00672834" w:rsidRDefault="00672834">
            <w:pPr>
              <w:snapToGrid w:val="0"/>
              <w:rPr>
                <w:rFonts w:ascii="Arial" w:hAnsi="Arial" w:cs="Arial"/>
                <w:b/>
                <w:sz w:val="22"/>
                <w:szCs w:val="22"/>
                <w:lang w:val="en-GB"/>
              </w:rPr>
            </w:pPr>
          </w:p>
        </w:tc>
        <w:tc>
          <w:tcPr>
            <w:tcW w:w="1620" w:type="dxa"/>
            <w:tcBorders>
              <w:left w:val="single" w:sz="4" w:space="0" w:color="000000"/>
            </w:tcBorders>
            <w:shd w:val="clear" w:color="auto" w:fill="auto"/>
          </w:tcPr>
          <w:p w:rsidR="00672834" w:rsidRDefault="00672834">
            <w:pPr>
              <w:snapToGrid w:val="0"/>
              <w:rPr>
                <w:rFonts w:ascii="Arial" w:hAnsi="Arial" w:cs="Arial"/>
                <w:b/>
                <w:sz w:val="22"/>
                <w:szCs w:val="22"/>
                <w:lang w:val="en-GB"/>
              </w:rPr>
            </w:pPr>
          </w:p>
        </w:tc>
        <w:tc>
          <w:tcPr>
            <w:tcW w:w="2109" w:type="dxa"/>
            <w:tcBorders>
              <w:left w:val="single" w:sz="4" w:space="0" w:color="000000"/>
              <w:right w:val="single" w:sz="4" w:space="0" w:color="000000"/>
            </w:tcBorders>
            <w:shd w:val="clear" w:color="auto" w:fill="auto"/>
          </w:tcPr>
          <w:p w:rsidR="00672834" w:rsidRDefault="00672834">
            <w:pPr>
              <w:snapToGrid w:val="0"/>
              <w:jc w:val="right"/>
              <w:rPr>
                <w:rFonts w:ascii="Arial" w:hAnsi="Arial" w:cs="Arial"/>
                <w:sz w:val="22"/>
                <w:szCs w:val="22"/>
                <w:lang w:val="en-GB"/>
              </w:rPr>
            </w:pPr>
          </w:p>
        </w:tc>
      </w:tr>
      <w:tr w:rsidR="00672834">
        <w:tc>
          <w:tcPr>
            <w:tcW w:w="3330" w:type="dxa"/>
            <w:tcBorders>
              <w:left w:val="single" w:sz="4" w:space="0" w:color="000000"/>
            </w:tcBorders>
            <w:shd w:val="clear" w:color="auto" w:fill="auto"/>
          </w:tcPr>
          <w:p w:rsidR="00672834" w:rsidRDefault="00672834">
            <w:pPr>
              <w:snapToGrid w:val="0"/>
              <w:rPr>
                <w:rFonts w:ascii="Arial" w:hAnsi="Arial" w:cs="Arial"/>
                <w:sz w:val="22"/>
                <w:szCs w:val="22"/>
                <w:lang w:val="en-GB"/>
              </w:rPr>
            </w:pPr>
            <w:r>
              <w:rPr>
                <w:rFonts w:ascii="Arial" w:hAnsi="Arial" w:cs="Arial"/>
                <w:sz w:val="22"/>
                <w:szCs w:val="22"/>
                <w:lang w:val="en-GB"/>
              </w:rPr>
              <w:t>Revenue</w:t>
            </w:r>
          </w:p>
        </w:tc>
        <w:tc>
          <w:tcPr>
            <w:tcW w:w="1620" w:type="dxa"/>
            <w:tcBorders>
              <w:left w:val="single" w:sz="4" w:space="0" w:color="000000"/>
            </w:tcBorders>
            <w:shd w:val="clear" w:color="auto" w:fill="auto"/>
          </w:tcPr>
          <w:p w:rsidR="00672834" w:rsidRDefault="00672834">
            <w:pPr>
              <w:snapToGrid w:val="0"/>
              <w:ind w:right="99"/>
              <w:jc w:val="right"/>
              <w:rPr>
                <w:rFonts w:ascii="Arial" w:hAnsi="Arial" w:cs="Arial"/>
                <w:sz w:val="22"/>
                <w:szCs w:val="22"/>
                <w:lang w:val="en-GB"/>
              </w:rPr>
            </w:pPr>
            <w:r>
              <w:rPr>
                <w:rFonts w:ascii="Arial" w:hAnsi="Arial" w:cs="Arial"/>
                <w:sz w:val="22"/>
                <w:szCs w:val="22"/>
                <w:lang w:val="en-GB"/>
              </w:rPr>
              <w:t>21,031</w:t>
            </w:r>
          </w:p>
        </w:tc>
        <w:tc>
          <w:tcPr>
            <w:tcW w:w="2109" w:type="dxa"/>
            <w:tcBorders>
              <w:left w:val="single" w:sz="4" w:space="0" w:color="000000"/>
              <w:right w:val="single" w:sz="4" w:space="0" w:color="000000"/>
            </w:tcBorders>
            <w:shd w:val="clear" w:color="auto" w:fill="auto"/>
          </w:tcPr>
          <w:p w:rsidR="00672834" w:rsidRDefault="00672834">
            <w:pPr>
              <w:snapToGrid w:val="0"/>
              <w:ind w:right="99"/>
              <w:jc w:val="right"/>
              <w:rPr>
                <w:rFonts w:ascii="Arial" w:hAnsi="Arial" w:cs="Arial"/>
                <w:sz w:val="22"/>
                <w:szCs w:val="22"/>
                <w:lang w:val="en-GB"/>
              </w:rPr>
            </w:pPr>
            <w:r>
              <w:rPr>
                <w:rFonts w:ascii="Arial" w:hAnsi="Arial" w:cs="Arial"/>
                <w:sz w:val="22"/>
                <w:szCs w:val="22"/>
                <w:lang w:val="en-GB"/>
              </w:rPr>
              <w:t>21,231</w:t>
            </w:r>
          </w:p>
        </w:tc>
      </w:tr>
      <w:tr w:rsidR="00672834">
        <w:tc>
          <w:tcPr>
            <w:tcW w:w="3330" w:type="dxa"/>
            <w:tcBorders>
              <w:left w:val="single" w:sz="4" w:space="0" w:color="000000"/>
            </w:tcBorders>
            <w:shd w:val="clear" w:color="auto" w:fill="auto"/>
          </w:tcPr>
          <w:p w:rsidR="00672834" w:rsidRDefault="00672834">
            <w:pPr>
              <w:snapToGrid w:val="0"/>
              <w:rPr>
                <w:rFonts w:ascii="Arial" w:hAnsi="Arial" w:cs="Arial"/>
                <w:sz w:val="22"/>
                <w:szCs w:val="22"/>
                <w:lang w:val="en-GB"/>
              </w:rPr>
            </w:pPr>
          </w:p>
        </w:tc>
        <w:tc>
          <w:tcPr>
            <w:tcW w:w="1620" w:type="dxa"/>
            <w:tcBorders>
              <w:left w:val="single" w:sz="4" w:space="0" w:color="000000"/>
            </w:tcBorders>
            <w:shd w:val="clear" w:color="auto" w:fill="auto"/>
          </w:tcPr>
          <w:p w:rsidR="00672834" w:rsidRDefault="00672834">
            <w:pPr>
              <w:snapToGrid w:val="0"/>
              <w:ind w:right="99"/>
              <w:jc w:val="right"/>
              <w:rPr>
                <w:rFonts w:ascii="Arial" w:hAnsi="Arial" w:cs="Arial"/>
                <w:sz w:val="22"/>
                <w:szCs w:val="22"/>
                <w:lang w:val="en-GB"/>
              </w:rPr>
            </w:pPr>
          </w:p>
        </w:tc>
        <w:tc>
          <w:tcPr>
            <w:tcW w:w="2109" w:type="dxa"/>
            <w:tcBorders>
              <w:left w:val="single" w:sz="4" w:space="0" w:color="000000"/>
              <w:right w:val="single" w:sz="4" w:space="0" w:color="000000"/>
            </w:tcBorders>
            <w:shd w:val="clear" w:color="auto" w:fill="auto"/>
          </w:tcPr>
          <w:p w:rsidR="00672834" w:rsidRDefault="00672834">
            <w:pPr>
              <w:snapToGrid w:val="0"/>
              <w:ind w:right="99"/>
              <w:jc w:val="right"/>
              <w:rPr>
                <w:rFonts w:ascii="Arial" w:hAnsi="Arial" w:cs="Arial"/>
                <w:sz w:val="22"/>
                <w:szCs w:val="22"/>
                <w:lang w:val="en-GB"/>
              </w:rPr>
            </w:pPr>
          </w:p>
        </w:tc>
      </w:tr>
      <w:tr w:rsidR="00672834">
        <w:trPr>
          <w:trHeight w:val="243"/>
        </w:trPr>
        <w:tc>
          <w:tcPr>
            <w:tcW w:w="3330" w:type="dxa"/>
            <w:tcBorders>
              <w:left w:val="single" w:sz="4" w:space="0" w:color="000000"/>
            </w:tcBorders>
            <w:shd w:val="clear" w:color="auto" w:fill="auto"/>
          </w:tcPr>
          <w:p w:rsidR="00672834" w:rsidRDefault="00672834">
            <w:pPr>
              <w:snapToGrid w:val="0"/>
              <w:rPr>
                <w:rFonts w:ascii="Arial" w:hAnsi="Arial" w:cs="Arial"/>
                <w:sz w:val="22"/>
                <w:szCs w:val="22"/>
                <w:lang w:val="en-GB"/>
              </w:rPr>
            </w:pPr>
            <w:r>
              <w:rPr>
                <w:rFonts w:ascii="Arial" w:hAnsi="Arial" w:cs="Arial"/>
                <w:sz w:val="22"/>
                <w:szCs w:val="22"/>
                <w:lang w:val="en-GB"/>
              </w:rPr>
              <w:t>Profit/(Loss) after income tax</w:t>
            </w:r>
          </w:p>
        </w:tc>
        <w:tc>
          <w:tcPr>
            <w:tcW w:w="1620" w:type="dxa"/>
            <w:tcBorders>
              <w:left w:val="single" w:sz="4" w:space="0" w:color="000000"/>
            </w:tcBorders>
            <w:shd w:val="clear" w:color="auto" w:fill="auto"/>
          </w:tcPr>
          <w:p w:rsidR="00672834" w:rsidRDefault="00672834">
            <w:pPr>
              <w:snapToGrid w:val="0"/>
              <w:ind w:right="99"/>
              <w:jc w:val="right"/>
              <w:rPr>
                <w:rFonts w:ascii="Arial" w:hAnsi="Arial" w:cs="Arial"/>
                <w:sz w:val="22"/>
                <w:szCs w:val="22"/>
                <w:lang w:val="en-GB"/>
              </w:rPr>
            </w:pPr>
            <w:r>
              <w:rPr>
                <w:rFonts w:ascii="Arial" w:hAnsi="Arial" w:cs="Arial"/>
                <w:sz w:val="22"/>
                <w:szCs w:val="22"/>
                <w:lang w:val="en-GB"/>
              </w:rPr>
              <w:t>1,657</w:t>
            </w:r>
          </w:p>
        </w:tc>
        <w:tc>
          <w:tcPr>
            <w:tcW w:w="2109" w:type="dxa"/>
            <w:tcBorders>
              <w:left w:val="single" w:sz="4" w:space="0" w:color="000000"/>
              <w:right w:val="single" w:sz="4" w:space="0" w:color="000000"/>
            </w:tcBorders>
            <w:shd w:val="clear" w:color="auto" w:fill="auto"/>
          </w:tcPr>
          <w:p w:rsidR="00672834" w:rsidRDefault="00672834">
            <w:pPr>
              <w:snapToGrid w:val="0"/>
              <w:ind w:right="99"/>
              <w:jc w:val="right"/>
              <w:rPr>
                <w:rFonts w:ascii="Arial" w:hAnsi="Arial" w:cs="Arial"/>
                <w:b/>
                <w:sz w:val="22"/>
                <w:szCs w:val="22"/>
                <w:lang w:val="en-GB"/>
              </w:rPr>
            </w:pPr>
            <w:r>
              <w:rPr>
                <w:rFonts w:ascii="Arial" w:hAnsi="Arial" w:cs="Arial"/>
                <w:sz w:val="22"/>
                <w:szCs w:val="22"/>
                <w:lang w:val="en-GB"/>
              </w:rPr>
              <w:t>(4,647)</w:t>
            </w:r>
          </w:p>
        </w:tc>
      </w:tr>
      <w:tr w:rsidR="00672834">
        <w:trPr>
          <w:trHeight w:val="70"/>
        </w:trPr>
        <w:tc>
          <w:tcPr>
            <w:tcW w:w="3330" w:type="dxa"/>
            <w:tcBorders>
              <w:left w:val="single" w:sz="4" w:space="0" w:color="000000"/>
              <w:bottom w:val="single" w:sz="4" w:space="0" w:color="000000"/>
            </w:tcBorders>
            <w:shd w:val="clear" w:color="auto" w:fill="auto"/>
          </w:tcPr>
          <w:p w:rsidR="00672834" w:rsidRDefault="00672834">
            <w:pPr>
              <w:snapToGrid w:val="0"/>
              <w:rPr>
                <w:rFonts w:ascii="Arial" w:hAnsi="Arial" w:cs="Arial"/>
                <w:b/>
                <w:sz w:val="22"/>
                <w:szCs w:val="22"/>
                <w:lang w:val="en-GB"/>
              </w:rPr>
            </w:pPr>
          </w:p>
        </w:tc>
        <w:tc>
          <w:tcPr>
            <w:tcW w:w="1620" w:type="dxa"/>
            <w:tcBorders>
              <w:left w:val="single" w:sz="4" w:space="0" w:color="000000"/>
              <w:bottom w:val="single" w:sz="4" w:space="0" w:color="000000"/>
            </w:tcBorders>
            <w:shd w:val="clear" w:color="auto" w:fill="auto"/>
          </w:tcPr>
          <w:p w:rsidR="00672834" w:rsidRDefault="00672834">
            <w:pPr>
              <w:snapToGrid w:val="0"/>
              <w:rPr>
                <w:rFonts w:ascii="Arial" w:hAnsi="Arial" w:cs="Arial"/>
                <w:b/>
                <w:sz w:val="22"/>
                <w:szCs w:val="22"/>
                <w:lang w:val="en-GB"/>
              </w:rPr>
            </w:pPr>
          </w:p>
        </w:tc>
        <w:tc>
          <w:tcPr>
            <w:tcW w:w="2109" w:type="dxa"/>
            <w:tcBorders>
              <w:left w:val="single" w:sz="4" w:space="0" w:color="000000"/>
              <w:bottom w:val="single" w:sz="4" w:space="0" w:color="000000"/>
              <w:right w:val="single" w:sz="4" w:space="0" w:color="000000"/>
            </w:tcBorders>
            <w:shd w:val="clear" w:color="auto" w:fill="auto"/>
          </w:tcPr>
          <w:p w:rsidR="00672834" w:rsidRDefault="00672834">
            <w:pPr>
              <w:snapToGrid w:val="0"/>
              <w:jc w:val="right"/>
              <w:rPr>
                <w:rFonts w:ascii="Arial" w:hAnsi="Arial" w:cs="Arial"/>
                <w:sz w:val="22"/>
                <w:szCs w:val="22"/>
                <w:lang w:val="en-GB"/>
              </w:rPr>
            </w:pPr>
          </w:p>
        </w:tc>
      </w:tr>
    </w:tbl>
    <w:p w:rsidR="00672834" w:rsidRDefault="00672834">
      <w:pPr>
        <w:jc w:val="both"/>
      </w:pPr>
    </w:p>
    <w:p w:rsidR="00672834" w:rsidRDefault="00672834">
      <w:pPr>
        <w:tabs>
          <w:tab w:val="left" w:pos="870"/>
        </w:tabs>
        <w:ind w:left="870"/>
        <w:jc w:val="both"/>
        <w:rPr>
          <w:rFonts w:ascii="Arial" w:hAnsi="Arial" w:cs="Arial"/>
          <w:sz w:val="22"/>
          <w:szCs w:val="22"/>
        </w:rPr>
      </w:pPr>
      <w:r>
        <w:rPr>
          <w:rFonts w:ascii="Arial" w:hAnsi="Arial" w:cs="Arial"/>
          <w:sz w:val="22"/>
          <w:szCs w:val="22"/>
        </w:rPr>
        <w:t>For the current quarter ended 31 March 2014, the Group’s revenue decrease</w:t>
      </w:r>
      <w:r w:rsidR="00CF52CD">
        <w:rPr>
          <w:rFonts w:ascii="Arial" w:hAnsi="Arial" w:cs="Arial"/>
          <w:sz w:val="22"/>
          <w:szCs w:val="22"/>
        </w:rPr>
        <w:t>d from RM21,231 million to RM21,</w:t>
      </w:r>
      <w:r>
        <w:rPr>
          <w:rFonts w:ascii="Arial" w:hAnsi="Arial" w:cs="Arial"/>
          <w:sz w:val="22"/>
          <w:szCs w:val="22"/>
        </w:rPr>
        <w:t>031 million against the immediate preceding quarter.</w:t>
      </w:r>
    </w:p>
    <w:p w:rsidR="00672834" w:rsidRDefault="00672834">
      <w:pPr>
        <w:ind w:left="360"/>
        <w:jc w:val="both"/>
        <w:rPr>
          <w:rFonts w:ascii="Arial" w:hAnsi="Arial" w:cs="Arial"/>
          <w:sz w:val="22"/>
          <w:szCs w:val="22"/>
        </w:rPr>
      </w:pPr>
    </w:p>
    <w:p w:rsidR="00672834" w:rsidRDefault="00CF52CD">
      <w:pPr>
        <w:ind w:left="870"/>
        <w:jc w:val="both"/>
        <w:rPr>
          <w:rFonts w:ascii="Arial" w:hAnsi="Arial" w:cs="Arial"/>
          <w:sz w:val="22"/>
          <w:szCs w:val="22"/>
          <w:lang w:val="en-GB"/>
        </w:rPr>
      </w:pPr>
      <w:r>
        <w:rPr>
          <w:rFonts w:ascii="Arial" w:hAnsi="Arial" w:cs="Arial"/>
          <w:sz w:val="22"/>
          <w:szCs w:val="22"/>
        </w:rPr>
        <w:t>The Group’s registered RM1,</w:t>
      </w:r>
      <w:r w:rsidR="00672834">
        <w:rPr>
          <w:rFonts w:ascii="Arial" w:hAnsi="Arial" w:cs="Arial"/>
          <w:sz w:val="22"/>
          <w:szCs w:val="22"/>
        </w:rPr>
        <w:t>657 million profit after income tax for the current quarter compared to the preceding quart</w:t>
      </w:r>
      <w:r>
        <w:rPr>
          <w:rFonts w:ascii="Arial" w:hAnsi="Arial" w:cs="Arial"/>
          <w:sz w:val="22"/>
          <w:szCs w:val="22"/>
        </w:rPr>
        <w:t>er loss after income tax of RM4,</w:t>
      </w:r>
      <w:r w:rsidR="00672834">
        <w:rPr>
          <w:rFonts w:ascii="Arial" w:hAnsi="Arial" w:cs="Arial"/>
          <w:sz w:val="22"/>
          <w:szCs w:val="22"/>
        </w:rPr>
        <w:t>647</w:t>
      </w:r>
      <w:r w:rsidR="00826485">
        <w:rPr>
          <w:rFonts w:ascii="Arial" w:hAnsi="Arial" w:cs="Arial"/>
          <w:sz w:val="22"/>
          <w:szCs w:val="22"/>
        </w:rPr>
        <w:t xml:space="preserve"> million</w:t>
      </w:r>
      <w:r w:rsidR="00672834">
        <w:rPr>
          <w:rFonts w:ascii="Arial" w:hAnsi="Arial" w:cs="Arial"/>
          <w:sz w:val="22"/>
          <w:szCs w:val="22"/>
        </w:rPr>
        <w:t xml:space="preserve">. </w:t>
      </w:r>
      <w:r w:rsidR="00672834">
        <w:rPr>
          <w:rFonts w:ascii="Arial" w:hAnsi="Arial" w:cs="Arial"/>
          <w:b/>
          <w:bCs/>
          <w:sz w:val="22"/>
          <w:szCs w:val="22"/>
        </w:rPr>
        <w:t>Profit is due to increase in quantities and higher market selling price of eggs.</w:t>
      </w:r>
    </w:p>
    <w:p w:rsidR="00672834" w:rsidRDefault="00672834">
      <w:pPr>
        <w:jc w:val="both"/>
        <w:rPr>
          <w:rFonts w:ascii="Arial" w:hAnsi="Arial" w:cs="Arial"/>
          <w:sz w:val="22"/>
          <w:szCs w:val="22"/>
          <w:lang w:val="en-GB"/>
        </w:rPr>
      </w:pPr>
    </w:p>
    <w:p w:rsidR="00672834" w:rsidRDefault="00672834">
      <w:pPr>
        <w:numPr>
          <w:ilvl w:val="0"/>
          <w:numId w:val="2"/>
        </w:numPr>
        <w:tabs>
          <w:tab w:val="left" w:pos="360"/>
          <w:tab w:val="left" w:pos="867"/>
        </w:tabs>
        <w:ind w:left="360"/>
        <w:jc w:val="both"/>
        <w:rPr>
          <w:rFonts w:ascii="Arial" w:hAnsi="Arial" w:cs="Arial"/>
          <w:color w:val="FF0000"/>
          <w:sz w:val="22"/>
          <w:szCs w:val="22"/>
        </w:rPr>
      </w:pPr>
      <w:r>
        <w:rPr>
          <w:rFonts w:ascii="Arial" w:hAnsi="Arial" w:cs="Arial"/>
          <w:b/>
          <w:sz w:val="22"/>
          <w:szCs w:val="22"/>
          <w:lang w:val="en-GB"/>
        </w:rPr>
        <w:t>Commentary on the Prospects</w:t>
      </w:r>
    </w:p>
    <w:p w:rsidR="00672834" w:rsidRDefault="00672834">
      <w:pPr>
        <w:jc w:val="both"/>
        <w:rPr>
          <w:rFonts w:ascii="Arial" w:hAnsi="Arial" w:cs="Arial"/>
          <w:color w:val="FF0000"/>
          <w:sz w:val="22"/>
          <w:szCs w:val="22"/>
        </w:rPr>
      </w:pPr>
    </w:p>
    <w:p w:rsidR="00672834" w:rsidRDefault="009F2B0F">
      <w:pPr>
        <w:ind w:left="900"/>
        <w:jc w:val="both"/>
        <w:rPr>
          <w:rFonts w:ascii="Arial" w:hAnsi="Arial" w:cs="Arial"/>
          <w:sz w:val="22"/>
        </w:rPr>
      </w:pPr>
      <w:r>
        <w:rPr>
          <w:rFonts w:ascii="Arial" w:hAnsi="Arial" w:cs="Arial"/>
          <w:sz w:val="22"/>
        </w:rPr>
        <w:t>The raw material price has increased due to the weakening of Ringgit Malaysia in recent months this may impact the performance of the group.</w:t>
      </w:r>
    </w:p>
    <w:p w:rsidR="00672834" w:rsidRDefault="00672834">
      <w:pPr>
        <w:jc w:val="both"/>
        <w:rPr>
          <w:rFonts w:ascii="Arial" w:hAnsi="Arial" w:cs="Arial"/>
          <w:sz w:val="22"/>
        </w:rPr>
      </w:pPr>
    </w:p>
    <w:p w:rsidR="00672834" w:rsidRDefault="00672834">
      <w:pPr>
        <w:numPr>
          <w:ilvl w:val="0"/>
          <w:numId w:val="2"/>
        </w:numPr>
        <w:tabs>
          <w:tab w:val="left" w:pos="375"/>
          <w:tab w:val="left" w:pos="883"/>
        </w:tabs>
        <w:ind w:left="375"/>
        <w:jc w:val="both"/>
        <w:rPr>
          <w:rFonts w:ascii="Arial" w:hAnsi="Arial" w:cs="Arial"/>
          <w:b/>
          <w:sz w:val="22"/>
          <w:szCs w:val="22"/>
          <w:lang w:val="en-GB"/>
        </w:rPr>
      </w:pPr>
      <w:r>
        <w:rPr>
          <w:rFonts w:ascii="Arial" w:hAnsi="Arial" w:cs="Arial"/>
          <w:b/>
          <w:sz w:val="22"/>
          <w:szCs w:val="22"/>
          <w:lang w:val="en-GB"/>
        </w:rPr>
        <w:t>Statement by the directors</w:t>
      </w:r>
    </w:p>
    <w:p w:rsidR="00672834" w:rsidRDefault="00672834">
      <w:pPr>
        <w:tabs>
          <w:tab w:val="left" w:pos="375"/>
        </w:tabs>
        <w:ind w:left="375"/>
        <w:jc w:val="both"/>
        <w:rPr>
          <w:rFonts w:ascii="Arial" w:hAnsi="Arial" w:cs="Arial"/>
          <w:b/>
          <w:sz w:val="22"/>
          <w:szCs w:val="22"/>
          <w:lang w:val="en-GB"/>
        </w:rPr>
      </w:pPr>
    </w:p>
    <w:p w:rsidR="00672834" w:rsidRDefault="00672834">
      <w:pPr>
        <w:tabs>
          <w:tab w:val="left" w:pos="933"/>
        </w:tabs>
        <w:ind w:left="933"/>
        <w:jc w:val="both"/>
        <w:rPr>
          <w:rFonts w:ascii="Arial" w:hAnsi="Arial" w:cs="Arial"/>
          <w:b/>
          <w:sz w:val="22"/>
          <w:szCs w:val="22"/>
          <w:lang w:val="en-GB"/>
        </w:rPr>
      </w:pPr>
      <w:r>
        <w:rPr>
          <w:rFonts w:ascii="Arial" w:hAnsi="Arial" w:cs="Arial"/>
          <w:sz w:val="22"/>
          <w:szCs w:val="22"/>
          <w:lang w:val="en-GB"/>
        </w:rPr>
        <w:t>The Group did not issue any profit forecast or projection in a public document in current quarter or prior financial period.</w:t>
      </w:r>
    </w:p>
    <w:p w:rsidR="00672834" w:rsidRDefault="00672834">
      <w:pPr>
        <w:tabs>
          <w:tab w:val="left" w:pos="933"/>
        </w:tabs>
        <w:ind w:left="933"/>
        <w:jc w:val="both"/>
        <w:rPr>
          <w:rFonts w:ascii="Arial" w:hAnsi="Arial" w:cs="Arial"/>
          <w:b/>
          <w:sz w:val="22"/>
          <w:szCs w:val="22"/>
          <w:lang w:val="en-GB"/>
        </w:rPr>
      </w:pPr>
    </w:p>
    <w:p w:rsidR="00672834" w:rsidRDefault="00672834">
      <w:pPr>
        <w:tabs>
          <w:tab w:val="left" w:pos="750"/>
        </w:tabs>
        <w:ind w:left="750"/>
        <w:jc w:val="both"/>
        <w:rPr>
          <w:rFonts w:ascii="Arial" w:hAnsi="Arial" w:cs="Arial"/>
          <w:b/>
          <w:sz w:val="22"/>
          <w:szCs w:val="22"/>
          <w:lang w:val="en-GB"/>
        </w:rPr>
      </w:pPr>
    </w:p>
    <w:p w:rsidR="00672834" w:rsidRDefault="00672834">
      <w:pPr>
        <w:tabs>
          <w:tab w:val="left" w:pos="750"/>
        </w:tabs>
        <w:ind w:left="750"/>
        <w:jc w:val="both"/>
        <w:rPr>
          <w:rFonts w:ascii="Arial" w:hAnsi="Arial" w:cs="Arial"/>
          <w:b/>
          <w:sz w:val="22"/>
          <w:szCs w:val="22"/>
          <w:lang w:val="en-GB"/>
        </w:rPr>
      </w:pPr>
    </w:p>
    <w:p w:rsidR="00672834" w:rsidRDefault="00672834">
      <w:pPr>
        <w:numPr>
          <w:ilvl w:val="0"/>
          <w:numId w:val="2"/>
        </w:numPr>
        <w:tabs>
          <w:tab w:val="left" w:pos="375"/>
          <w:tab w:val="left" w:pos="783"/>
        </w:tabs>
        <w:ind w:left="817" w:hanging="500"/>
        <w:jc w:val="both"/>
        <w:rPr>
          <w:rFonts w:ascii="Arial" w:hAnsi="Arial" w:cs="Arial"/>
          <w:sz w:val="22"/>
          <w:szCs w:val="22"/>
          <w:lang w:val="en-GB"/>
        </w:rPr>
      </w:pPr>
      <w:r>
        <w:rPr>
          <w:rFonts w:ascii="Arial" w:hAnsi="Arial" w:cs="Arial"/>
          <w:b/>
          <w:sz w:val="22"/>
          <w:szCs w:val="22"/>
          <w:lang w:val="en-GB"/>
        </w:rPr>
        <w:lastRenderedPageBreak/>
        <w:t xml:space="preserve">Variance of Actual Profit from Forecast Profit for the current quarter under  </w:t>
      </w:r>
      <w:r>
        <w:rPr>
          <w:b/>
          <w:bCs/>
        </w:rPr>
        <w:t>review</w:t>
      </w:r>
    </w:p>
    <w:p w:rsidR="00672834" w:rsidRDefault="00672834">
      <w:pPr>
        <w:rPr>
          <w:rFonts w:ascii="Arial" w:hAnsi="Arial" w:cs="Arial"/>
          <w:sz w:val="22"/>
          <w:szCs w:val="22"/>
          <w:lang w:val="en-GB"/>
        </w:rPr>
      </w:pPr>
    </w:p>
    <w:p w:rsidR="00672834" w:rsidRDefault="00672834">
      <w:pPr>
        <w:pStyle w:val="BodyTextIndent2"/>
        <w:ind w:left="735"/>
        <w:rPr>
          <w:rFonts w:ascii="Arial" w:hAnsi="Arial" w:cs="Arial"/>
          <w:sz w:val="22"/>
          <w:szCs w:val="22"/>
        </w:rPr>
      </w:pPr>
      <w:r>
        <w:rPr>
          <w:rFonts w:ascii="Arial" w:hAnsi="Arial" w:cs="Arial"/>
          <w:sz w:val="22"/>
          <w:szCs w:val="22"/>
        </w:rPr>
        <w:t xml:space="preserve">Not applicable for this interim reporting. </w:t>
      </w:r>
    </w:p>
    <w:p w:rsidR="00672834" w:rsidRDefault="00672834">
      <w:pPr>
        <w:pStyle w:val="BodyTextIndent2"/>
        <w:ind w:left="735"/>
        <w:rPr>
          <w:rFonts w:ascii="Arial" w:hAnsi="Arial" w:cs="Arial"/>
          <w:sz w:val="22"/>
          <w:szCs w:val="22"/>
        </w:rPr>
      </w:pPr>
    </w:p>
    <w:p w:rsidR="00672834" w:rsidRDefault="00672834">
      <w:pPr>
        <w:numPr>
          <w:ilvl w:val="0"/>
          <w:numId w:val="2"/>
        </w:numPr>
        <w:tabs>
          <w:tab w:val="left" w:pos="360"/>
        </w:tabs>
        <w:ind w:left="360"/>
        <w:jc w:val="both"/>
        <w:rPr>
          <w:rFonts w:ascii="Arial" w:hAnsi="Arial" w:cs="Arial"/>
          <w:b/>
          <w:sz w:val="22"/>
          <w:szCs w:val="22"/>
          <w:lang w:val="en-GB"/>
        </w:rPr>
      </w:pPr>
      <w:r>
        <w:rPr>
          <w:rFonts w:ascii="Arial" w:hAnsi="Arial" w:cs="Arial"/>
          <w:b/>
          <w:sz w:val="22"/>
          <w:szCs w:val="22"/>
          <w:lang w:val="en-GB"/>
        </w:rPr>
        <w:t xml:space="preserve"> Income tax</w:t>
      </w:r>
    </w:p>
    <w:p w:rsidR="00672834" w:rsidRDefault="00672834">
      <w:pPr>
        <w:jc w:val="both"/>
        <w:rPr>
          <w:rFonts w:ascii="Arial" w:hAnsi="Arial" w:cs="Arial"/>
          <w:b/>
          <w:sz w:val="22"/>
          <w:szCs w:val="22"/>
          <w:lang w:val="en-GB"/>
        </w:rPr>
      </w:pPr>
    </w:p>
    <w:p w:rsidR="00672834" w:rsidRDefault="00672834">
      <w:pPr>
        <w:ind w:left="735"/>
        <w:rPr>
          <w:rFonts w:ascii="Arial" w:hAnsi="Arial" w:cs="Arial"/>
          <w:sz w:val="22"/>
          <w:szCs w:val="22"/>
          <w:lang w:val="en-GB"/>
        </w:rPr>
      </w:pPr>
      <w:r>
        <w:rPr>
          <w:rFonts w:ascii="Arial" w:hAnsi="Arial" w:cs="Arial"/>
          <w:sz w:val="22"/>
          <w:szCs w:val="22"/>
          <w:lang w:val="en-GB"/>
        </w:rPr>
        <w:t>Income tax comprises the following:</w:t>
      </w:r>
    </w:p>
    <w:p w:rsidR="00672834" w:rsidRDefault="00672834">
      <w:pPr>
        <w:rPr>
          <w:rFonts w:ascii="Arial" w:hAnsi="Arial" w:cs="Arial"/>
          <w:sz w:val="22"/>
          <w:szCs w:val="22"/>
          <w:lang w:val="en-GB"/>
        </w:rPr>
      </w:pPr>
    </w:p>
    <w:tbl>
      <w:tblPr>
        <w:tblW w:w="0" w:type="auto"/>
        <w:tblInd w:w="753" w:type="dxa"/>
        <w:tblLayout w:type="fixed"/>
        <w:tblLook w:val="0000"/>
      </w:tblPr>
      <w:tblGrid>
        <w:gridCol w:w="2084"/>
        <w:gridCol w:w="1400"/>
        <w:gridCol w:w="1567"/>
        <w:gridCol w:w="236"/>
        <w:gridCol w:w="1634"/>
        <w:gridCol w:w="1644"/>
      </w:tblGrid>
      <w:tr w:rsidR="00672834">
        <w:tc>
          <w:tcPr>
            <w:tcW w:w="2084" w:type="dxa"/>
            <w:tcBorders>
              <w:top w:val="single" w:sz="4" w:space="0" w:color="000000"/>
              <w:left w:val="single" w:sz="4" w:space="0" w:color="000000"/>
            </w:tcBorders>
            <w:shd w:val="clear" w:color="auto" w:fill="auto"/>
          </w:tcPr>
          <w:p w:rsidR="00672834" w:rsidRDefault="00672834">
            <w:pPr>
              <w:snapToGrid w:val="0"/>
              <w:rPr>
                <w:rFonts w:ascii="Arial" w:hAnsi="Arial" w:cs="Arial"/>
                <w:b/>
                <w:sz w:val="20"/>
                <w:szCs w:val="20"/>
                <w:lang w:val="en-GB"/>
              </w:rPr>
            </w:pPr>
          </w:p>
        </w:tc>
        <w:tc>
          <w:tcPr>
            <w:tcW w:w="2967" w:type="dxa"/>
            <w:gridSpan w:val="2"/>
            <w:tcBorders>
              <w:top w:val="single" w:sz="4" w:space="0" w:color="000000"/>
              <w:left w:val="single" w:sz="4" w:space="0" w:color="000000"/>
              <w:bottom w:val="single" w:sz="4" w:space="0" w:color="000000"/>
            </w:tcBorders>
            <w:shd w:val="clear" w:color="auto" w:fill="auto"/>
          </w:tcPr>
          <w:p w:rsidR="00672834" w:rsidRDefault="00672834">
            <w:pPr>
              <w:pStyle w:val="DefaultText"/>
              <w:snapToGrid w:val="0"/>
              <w:jc w:val="center"/>
              <w:rPr>
                <w:rFonts w:ascii="Arial" w:hAnsi="Arial" w:cs="Arial"/>
                <w:b/>
                <w:sz w:val="20"/>
                <w:lang w:val="en-GB"/>
              </w:rPr>
            </w:pPr>
            <w:r>
              <w:rPr>
                <w:rFonts w:ascii="Arial" w:hAnsi="Arial" w:cs="Arial"/>
                <w:b/>
                <w:sz w:val="20"/>
                <w:lang w:val="en-GB"/>
              </w:rPr>
              <w:t>Individual Period</w:t>
            </w:r>
          </w:p>
        </w:tc>
        <w:tc>
          <w:tcPr>
            <w:tcW w:w="236" w:type="dxa"/>
            <w:tcBorders>
              <w:top w:val="single" w:sz="4" w:space="0" w:color="000000"/>
              <w:left w:val="single" w:sz="4" w:space="0" w:color="000000"/>
            </w:tcBorders>
            <w:shd w:val="clear" w:color="auto" w:fill="auto"/>
          </w:tcPr>
          <w:p w:rsidR="00672834" w:rsidRDefault="00672834">
            <w:pPr>
              <w:pStyle w:val="DefaultText"/>
              <w:snapToGrid w:val="0"/>
              <w:jc w:val="center"/>
              <w:rPr>
                <w:rFonts w:ascii="Arial" w:hAnsi="Arial" w:cs="Arial"/>
                <w:b/>
                <w:sz w:val="20"/>
                <w:lang w:val="en-GB"/>
              </w:rPr>
            </w:pP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Pr>
          <w:p w:rsidR="00672834" w:rsidRDefault="00672834">
            <w:pPr>
              <w:pStyle w:val="DefaultText"/>
              <w:snapToGrid w:val="0"/>
              <w:jc w:val="center"/>
              <w:rPr>
                <w:rFonts w:ascii="Arial" w:hAnsi="Arial" w:cs="Arial"/>
                <w:b/>
                <w:sz w:val="20"/>
                <w:lang w:val="en-GB"/>
              </w:rPr>
            </w:pPr>
            <w:r>
              <w:rPr>
                <w:rFonts w:ascii="Arial" w:hAnsi="Arial" w:cs="Arial"/>
                <w:b/>
                <w:sz w:val="20"/>
                <w:lang w:val="en-GB"/>
              </w:rPr>
              <w:t>Cumulative period</w:t>
            </w:r>
          </w:p>
        </w:tc>
      </w:tr>
      <w:tr w:rsidR="00672834">
        <w:tc>
          <w:tcPr>
            <w:tcW w:w="2084" w:type="dxa"/>
            <w:tcBorders>
              <w:left w:val="single" w:sz="4" w:space="0" w:color="000000"/>
            </w:tcBorders>
            <w:shd w:val="clear" w:color="auto" w:fill="auto"/>
          </w:tcPr>
          <w:p w:rsidR="00672834" w:rsidRDefault="00672834">
            <w:pPr>
              <w:snapToGrid w:val="0"/>
              <w:rPr>
                <w:rFonts w:ascii="Arial" w:hAnsi="Arial" w:cs="Arial"/>
                <w:b/>
                <w:sz w:val="20"/>
                <w:szCs w:val="20"/>
                <w:lang w:val="en-GB"/>
              </w:rPr>
            </w:pPr>
            <w:r>
              <w:rPr>
                <w:rFonts w:ascii="Arial" w:hAnsi="Arial" w:cs="Arial"/>
                <w:b/>
                <w:sz w:val="20"/>
                <w:szCs w:val="20"/>
                <w:lang w:val="en-GB"/>
              </w:rPr>
              <w:t xml:space="preserve"> </w:t>
            </w:r>
          </w:p>
        </w:tc>
        <w:tc>
          <w:tcPr>
            <w:tcW w:w="1400" w:type="dxa"/>
            <w:tcBorders>
              <w:left w:val="single" w:sz="4" w:space="0" w:color="000000"/>
              <w:bottom w:val="single" w:sz="4" w:space="0" w:color="000000"/>
            </w:tcBorders>
            <w:shd w:val="clear" w:color="auto" w:fill="auto"/>
          </w:tcPr>
          <w:p w:rsidR="00672834" w:rsidRDefault="00672834">
            <w:pPr>
              <w:snapToGrid w:val="0"/>
              <w:ind w:left="-108" w:right="-108"/>
              <w:jc w:val="center"/>
              <w:rPr>
                <w:rFonts w:ascii="Arial" w:hAnsi="Arial" w:cs="Arial"/>
                <w:b/>
                <w:sz w:val="20"/>
                <w:szCs w:val="20"/>
                <w:lang w:val="en-GB"/>
              </w:rPr>
            </w:pPr>
            <w:r>
              <w:rPr>
                <w:rFonts w:ascii="Arial" w:hAnsi="Arial" w:cs="Arial"/>
                <w:b/>
                <w:sz w:val="20"/>
                <w:szCs w:val="20"/>
                <w:lang w:val="en-GB"/>
              </w:rPr>
              <w:t>Current period quarter</w:t>
            </w:r>
          </w:p>
          <w:p w:rsidR="00672834" w:rsidRDefault="00672834">
            <w:pPr>
              <w:ind w:right="-108"/>
              <w:rPr>
                <w:rFonts w:ascii="Arial" w:hAnsi="Arial" w:cs="Arial"/>
                <w:b/>
                <w:sz w:val="20"/>
                <w:szCs w:val="20"/>
                <w:lang w:val="en-GB"/>
              </w:rPr>
            </w:pPr>
          </w:p>
          <w:p w:rsidR="00672834" w:rsidRDefault="00672834">
            <w:pPr>
              <w:ind w:left="-108" w:right="-108"/>
              <w:jc w:val="center"/>
              <w:rPr>
                <w:rFonts w:ascii="Arial" w:hAnsi="Arial" w:cs="Arial"/>
                <w:b/>
                <w:sz w:val="20"/>
                <w:szCs w:val="20"/>
                <w:lang w:val="en-GB"/>
              </w:rPr>
            </w:pPr>
            <w:r>
              <w:rPr>
                <w:rFonts w:ascii="Arial" w:hAnsi="Arial" w:cs="Arial"/>
                <w:b/>
                <w:sz w:val="20"/>
                <w:szCs w:val="20"/>
                <w:lang w:val="en-GB"/>
              </w:rPr>
              <w:t>31/3/14</w:t>
            </w:r>
          </w:p>
        </w:tc>
        <w:tc>
          <w:tcPr>
            <w:tcW w:w="1567" w:type="dxa"/>
            <w:tcBorders>
              <w:left w:val="single" w:sz="4" w:space="0" w:color="000000"/>
              <w:bottom w:val="single" w:sz="4" w:space="0" w:color="000000"/>
            </w:tcBorders>
            <w:shd w:val="clear" w:color="auto" w:fill="auto"/>
          </w:tcPr>
          <w:p w:rsidR="00672834" w:rsidRDefault="00672834">
            <w:pPr>
              <w:snapToGrid w:val="0"/>
              <w:ind w:left="-108" w:right="-108"/>
              <w:jc w:val="center"/>
              <w:rPr>
                <w:rFonts w:ascii="Arial" w:hAnsi="Arial" w:cs="Arial"/>
                <w:b/>
                <w:sz w:val="20"/>
                <w:szCs w:val="20"/>
                <w:lang w:val="en-GB"/>
              </w:rPr>
            </w:pPr>
            <w:r>
              <w:rPr>
                <w:rFonts w:ascii="Arial" w:hAnsi="Arial" w:cs="Arial"/>
                <w:b/>
                <w:sz w:val="20"/>
                <w:szCs w:val="20"/>
                <w:lang w:val="en-GB"/>
              </w:rPr>
              <w:t>Preceding year corresponding quarter</w:t>
            </w:r>
          </w:p>
          <w:p w:rsidR="00672834" w:rsidRDefault="00672834">
            <w:pPr>
              <w:ind w:left="-108" w:right="-108"/>
              <w:jc w:val="center"/>
              <w:rPr>
                <w:rFonts w:ascii="Arial" w:hAnsi="Arial" w:cs="Arial"/>
                <w:b/>
                <w:sz w:val="20"/>
                <w:szCs w:val="20"/>
                <w:lang w:val="en-GB"/>
              </w:rPr>
            </w:pPr>
            <w:r>
              <w:rPr>
                <w:rFonts w:ascii="Arial" w:hAnsi="Arial" w:cs="Arial"/>
                <w:b/>
                <w:sz w:val="20"/>
                <w:szCs w:val="20"/>
                <w:lang w:val="en-GB"/>
              </w:rPr>
              <w:t>31/12/13</w:t>
            </w:r>
          </w:p>
        </w:tc>
        <w:tc>
          <w:tcPr>
            <w:tcW w:w="236" w:type="dxa"/>
            <w:tcBorders>
              <w:left w:val="single" w:sz="4" w:space="0" w:color="000000"/>
            </w:tcBorders>
            <w:shd w:val="clear" w:color="auto" w:fill="auto"/>
          </w:tcPr>
          <w:p w:rsidR="00672834" w:rsidRDefault="00672834">
            <w:pPr>
              <w:snapToGrid w:val="0"/>
              <w:jc w:val="center"/>
              <w:rPr>
                <w:rFonts w:ascii="Arial" w:hAnsi="Arial" w:cs="Arial"/>
                <w:b/>
                <w:sz w:val="20"/>
                <w:szCs w:val="20"/>
                <w:lang w:val="en-GB"/>
              </w:rPr>
            </w:pPr>
          </w:p>
        </w:tc>
        <w:tc>
          <w:tcPr>
            <w:tcW w:w="1634" w:type="dxa"/>
            <w:tcBorders>
              <w:left w:val="single" w:sz="4" w:space="0" w:color="000000"/>
              <w:bottom w:val="single" w:sz="4" w:space="0" w:color="000000"/>
            </w:tcBorders>
            <w:shd w:val="clear" w:color="auto" w:fill="auto"/>
          </w:tcPr>
          <w:p w:rsidR="00672834" w:rsidRDefault="00672834">
            <w:pPr>
              <w:snapToGrid w:val="0"/>
              <w:ind w:left="-108" w:right="-108"/>
              <w:jc w:val="center"/>
              <w:rPr>
                <w:rFonts w:ascii="Arial" w:hAnsi="Arial" w:cs="Arial"/>
                <w:b/>
                <w:sz w:val="20"/>
                <w:szCs w:val="20"/>
                <w:lang w:val="en-GB"/>
              </w:rPr>
            </w:pPr>
            <w:r>
              <w:rPr>
                <w:rFonts w:ascii="Arial" w:hAnsi="Arial" w:cs="Arial"/>
                <w:b/>
                <w:sz w:val="20"/>
                <w:szCs w:val="20"/>
                <w:lang w:val="en-GB"/>
              </w:rPr>
              <w:t>Current year-to-date</w:t>
            </w:r>
          </w:p>
          <w:p w:rsidR="00672834" w:rsidRDefault="00855A36">
            <w:pPr>
              <w:jc w:val="center"/>
              <w:rPr>
                <w:rFonts w:ascii="Arial" w:hAnsi="Arial" w:cs="Arial"/>
                <w:b/>
                <w:sz w:val="20"/>
                <w:szCs w:val="20"/>
                <w:lang w:val="en-GB"/>
              </w:rPr>
            </w:pPr>
            <w:r>
              <w:rPr>
                <w:rFonts w:ascii="Arial" w:hAnsi="Arial" w:cs="Arial"/>
                <w:b/>
                <w:sz w:val="20"/>
                <w:szCs w:val="20"/>
                <w:lang w:val="en-GB"/>
              </w:rPr>
              <w:t>(3</w:t>
            </w:r>
            <w:r w:rsidR="00672834">
              <w:rPr>
                <w:rFonts w:ascii="Arial" w:hAnsi="Arial" w:cs="Arial"/>
                <w:b/>
                <w:sz w:val="20"/>
                <w:szCs w:val="20"/>
                <w:lang w:val="en-GB"/>
              </w:rPr>
              <w:t xml:space="preserve"> months)</w:t>
            </w:r>
          </w:p>
          <w:p w:rsidR="00672834" w:rsidRDefault="00672834">
            <w:pPr>
              <w:jc w:val="center"/>
              <w:rPr>
                <w:rFonts w:ascii="Arial" w:hAnsi="Arial" w:cs="Arial"/>
                <w:b/>
                <w:sz w:val="20"/>
                <w:szCs w:val="20"/>
                <w:lang w:val="en-GB"/>
              </w:rPr>
            </w:pPr>
            <w:r>
              <w:rPr>
                <w:rFonts w:ascii="Arial" w:hAnsi="Arial" w:cs="Arial"/>
                <w:b/>
                <w:sz w:val="20"/>
                <w:szCs w:val="20"/>
                <w:lang w:val="en-GB"/>
              </w:rPr>
              <w:t>31/3/14</w:t>
            </w:r>
          </w:p>
        </w:tc>
        <w:tc>
          <w:tcPr>
            <w:tcW w:w="1644" w:type="dxa"/>
            <w:tcBorders>
              <w:left w:val="single" w:sz="4" w:space="0" w:color="000000"/>
              <w:bottom w:val="single" w:sz="4" w:space="0" w:color="000000"/>
              <w:right w:val="single" w:sz="4" w:space="0" w:color="000000"/>
            </w:tcBorders>
            <w:shd w:val="clear" w:color="auto" w:fill="auto"/>
          </w:tcPr>
          <w:p w:rsidR="00672834" w:rsidRDefault="00672834">
            <w:pPr>
              <w:snapToGrid w:val="0"/>
              <w:ind w:left="-108" w:right="-108"/>
              <w:jc w:val="center"/>
              <w:rPr>
                <w:rFonts w:ascii="Arial" w:hAnsi="Arial" w:cs="Arial"/>
                <w:b/>
                <w:sz w:val="20"/>
                <w:szCs w:val="20"/>
                <w:lang w:val="en-GB"/>
              </w:rPr>
            </w:pPr>
            <w:r>
              <w:rPr>
                <w:rFonts w:ascii="Arial" w:hAnsi="Arial" w:cs="Arial"/>
                <w:b/>
                <w:sz w:val="20"/>
                <w:szCs w:val="20"/>
                <w:lang w:val="en-GB"/>
              </w:rPr>
              <w:t>Preceding year-to-date</w:t>
            </w:r>
          </w:p>
          <w:p w:rsidR="00672834" w:rsidRDefault="00672834">
            <w:pPr>
              <w:jc w:val="center"/>
              <w:rPr>
                <w:rFonts w:ascii="Arial" w:hAnsi="Arial" w:cs="Arial"/>
                <w:b/>
                <w:sz w:val="20"/>
                <w:szCs w:val="20"/>
                <w:lang w:val="en-GB"/>
              </w:rPr>
            </w:pPr>
            <w:r>
              <w:rPr>
                <w:rFonts w:ascii="Arial" w:hAnsi="Arial" w:cs="Arial"/>
                <w:b/>
                <w:sz w:val="20"/>
                <w:szCs w:val="20"/>
                <w:lang w:val="en-GB"/>
              </w:rPr>
              <w:t>(12 months)</w:t>
            </w:r>
          </w:p>
          <w:p w:rsidR="00672834" w:rsidRDefault="00672834">
            <w:pPr>
              <w:jc w:val="center"/>
              <w:rPr>
                <w:rFonts w:ascii="Arial" w:eastAsia="Times New Roman" w:hAnsi="Arial" w:cs="Arial"/>
                <w:b/>
                <w:sz w:val="20"/>
                <w:szCs w:val="20"/>
                <w:lang w:val="en-GB"/>
              </w:rPr>
            </w:pPr>
            <w:r>
              <w:rPr>
                <w:rFonts w:ascii="Arial" w:hAnsi="Arial" w:cs="Arial"/>
                <w:b/>
                <w:sz w:val="20"/>
                <w:szCs w:val="20"/>
                <w:lang w:val="en-GB"/>
              </w:rPr>
              <w:t>31/12/13</w:t>
            </w:r>
          </w:p>
        </w:tc>
      </w:tr>
      <w:tr w:rsidR="00672834">
        <w:tc>
          <w:tcPr>
            <w:tcW w:w="2084" w:type="dxa"/>
            <w:tcBorders>
              <w:left w:val="single" w:sz="4" w:space="0" w:color="000000"/>
            </w:tcBorders>
            <w:shd w:val="clear" w:color="auto" w:fill="auto"/>
          </w:tcPr>
          <w:p w:rsidR="00672834" w:rsidRDefault="00672834">
            <w:pPr>
              <w:pStyle w:val="DefaultText"/>
              <w:snapToGrid w:val="0"/>
              <w:rPr>
                <w:rFonts w:ascii="Arial" w:hAnsi="Arial" w:cs="Arial"/>
                <w:b/>
                <w:sz w:val="20"/>
                <w:lang w:val="en-GB"/>
              </w:rPr>
            </w:pPr>
          </w:p>
        </w:tc>
        <w:tc>
          <w:tcPr>
            <w:tcW w:w="1400"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0"/>
                <w:szCs w:val="20"/>
                <w:lang w:val="en-GB"/>
              </w:rPr>
            </w:pPr>
            <w:r>
              <w:rPr>
                <w:rFonts w:ascii="Arial" w:hAnsi="Arial" w:cs="Arial"/>
                <w:b/>
                <w:sz w:val="20"/>
                <w:szCs w:val="20"/>
                <w:lang w:val="en-GB"/>
              </w:rPr>
              <w:t xml:space="preserve"> RM’000</w:t>
            </w:r>
          </w:p>
        </w:tc>
        <w:tc>
          <w:tcPr>
            <w:tcW w:w="1567"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0"/>
                <w:szCs w:val="20"/>
                <w:lang w:val="en-GB"/>
              </w:rPr>
            </w:pPr>
            <w:r>
              <w:rPr>
                <w:rFonts w:ascii="Arial" w:hAnsi="Arial" w:cs="Arial"/>
                <w:b/>
                <w:sz w:val="20"/>
                <w:szCs w:val="20"/>
                <w:lang w:val="en-GB"/>
              </w:rPr>
              <w:t>RM’000</w:t>
            </w:r>
          </w:p>
        </w:tc>
        <w:tc>
          <w:tcPr>
            <w:tcW w:w="236" w:type="dxa"/>
            <w:tcBorders>
              <w:left w:val="single" w:sz="4" w:space="0" w:color="000000"/>
            </w:tcBorders>
            <w:shd w:val="clear" w:color="auto" w:fill="auto"/>
          </w:tcPr>
          <w:p w:rsidR="00672834" w:rsidRDefault="00672834">
            <w:pPr>
              <w:snapToGrid w:val="0"/>
              <w:jc w:val="center"/>
              <w:rPr>
                <w:rFonts w:ascii="Arial" w:hAnsi="Arial" w:cs="Arial"/>
                <w:b/>
                <w:sz w:val="20"/>
                <w:szCs w:val="20"/>
                <w:lang w:val="en-GB"/>
              </w:rPr>
            </w:pPr>
          </w:p>
        </w:tc>
        <w:tc>
          <w:tcPr>
            <w:tcW w:w="1634" w:type="dxa"/>
            <w:tcBorders>
              <w:left w:val="single" w:sz="4" w:space="0" w:color="000000"/>
              <w:bottom w:val="single" w:sz="4" w:space="0" w:color="000000"/>
            </w:tcBorders>
            <w:shd w:val="clear" w:color="auto" w:fill="auto"/>
          </w:tcPr>
          <w:p w:rsidR="00672834" w:rsidRDefault="00672834">
            <w:pPr>
              <w:snapToGrid w:val="0"/>
              <w:jc w:val="center"/>
              <w:rPr>
                <w:rFonts w:ascii="Arial" w:hAnsi="Arial" w:cs="Arial"/>
                <w:b/>
                <w:sz w:val="20"/>
                <w:szCs w:val="20"/>
                <w:lang w:val="en-GB"/>
              </w:rPr>
            </w:pPr>
            <w:r>
              <w:rPr>
                <w:rFonts w:ascii="Arial" w:hAnsi="Arial" w:cs="Arial"/>
                <w:b/>
                <w:sz w:val="20"/>
                <w:szCs w:val="20"/>
                <w:lang w:val="en-GB"/>
              </w:rPr>
              <w:t xml:space="preserve"> RM’000</w:t>
            </w:r>
          </w:p>
        </w:tc>
        <w:tc>
          <w:tcPr>
            <w:tcW w:w="1644" w:type="dxa"/>
            <w:tcBorders>
              <w:left w:val="single" w:sz="4" w:space="0" w:color="000000"/>
              <w:bottom w:val="single" w:sz="4" w:space="0" w:color="000000"/>
              <w:right w:val="single" w:sz="4" w:space="0" w:color="000000"/>
            </w:tcBorders>
            <w:shd w:val="clear" w:color="auto" w:fill="auto"/>
          </w:tcPr>
          <w:p w:rsidR="00672834" w:rsidRDefault="00672834">
            <w:pPr>
              <w:snapToGrid w:val="0"/>
              <w:jc w:val="center"/>
              <w:rPr>
                <w:rFonts w:ascii="Arial" w:hAnsi="Arial" w:cs="Arial"/>
                <w:sz w:val="20"/>
                <w:szCs w:val="20"/>
                <w:lang w:val="en-GB"/>
              </w:rPr>
            </w:pPr>
            <w:r>
              <w:rPr>
                <w:rFonts w:ascii="Arial" w:hAnsi="Arial" w:cs="Arial"/>
                <w:b/>
                <w:sz w:val="20"/>
                <w:szCs w:val="20"/>
                <w:lang w:val="en-GB"/>
              </w:rPr>
              <w:t>RM’000</w:t>
            </w:r>
          </w:p>
        </w:tc>
      </w:tr>
      <w:tr w:rsidR="00672834">
        <w:tc>
          <w:tcPr>
            <w:tcW w:w="2084" w:type="dxa"/>
            <w:tcBorders>
              <w:left w:val="single" w:sz="4" w:space="0" w:color="000000"/>
            </w:tcBorders>
            <w:shd w:val="clear" w:color="auto" w:fill="auto"/>
          </w:tcPr>
          <w:p w:rsidR="00672834" w:rsidRDefault="00672834">
            <w:pPr>
              <w:snapToGrid w:val="0"/>
              <w:rPr>
                <w:rFonts w:ascii="Arial" w:hAnsi="Arial" w:cs="Arial"/>
                <w:sz w:val="20"/>
                <w:szCs w:val="20"/>
                <w:lang w:val="en-GB"/>
              </w:rPr>
            </w:pPr>
          </w:p>
        </w:tc>
        <w:tc>
          <w:tcPr>
            <w:tcW w:w="1400" w:type="dxa"/>
            <w:tcBorders>
              <w:left w:val="single" w:sz="4" w:space="0" w:color="000000"/>
            </w:tcBorders>
            <w:shd w:val="clear" w:color="auto" w:fill="auto"/>
          </w:tcPr>
          <w:p w:rsidR="00672834" w:rsidRDefault="00672834">
            <w:pPr>
              <w:pStyle w:val="DefaultText"/>
              <w:snapToGrid w:val="0"/>
              <w:rPr>
                <w:rFonts w:ascii="Arial" w:hAnsi="Arial" w:cs="Arial"/>
                <w:sz w:val="20"/>
                <w:lang w:val="en-GB"/>
              </w:rPr>
            </w:pPr>
          </w:p>
        </w:tc>
        <w:tc>
          <w:tcPr>
            <w:tcW w:w="1567" w:type="dxa"/>
            <w:tcBorders>
              <w:left w:val="single" w:sz="4" w:space="0" w:color="000000"/>
            </w:tcBorders>
            <w:shd w:val="clear" w:color="auto" w:fill="auto"/>
          </w:tcPr>
          <w:p w:rsidR="00672834" w:rsidRDefault="00672834">
            <w:pPr>
              <w:snapToGrid w:val="0"/>
              <w:jc w:val="center"/>
              <w:rPr>
                <w:rFonts w:ascii="Arial" w:hAnsi="Arial" w:cs="Arial"/>
                <w:b/>
                <w:sz w:val="20"/>
                <w:szCs w:val="20"/>
                <w:lang w:val="en-GB"/>
              </w:rPr>
            </w:pPr>
          </w:p>
        </w:tc>
        <w:tc>
          <w:tcPr>
            <w:tcW w:w="236" w:type="dxa"/>
            <w:tcBorders>
              <w:left w:val="single" w:sz="4" w:space="0" w:color="000000"/>
            </w:tcBorders>
            <w:shd w:val="clear" w:color="auto" w:fill="auto"/>
          </w:tcPr>
          <w:p w:rsidR="00672834" w:rsidRDefault="00672834">
            <w:pPr>
              <w:snapToGrid w:val="0"/>
              <w:jc w:val="center"/>
              <w:rPr>
                <w:rFonts w:ascii="Arial" w:hAnsi="Arial" w:cs="Arial"/>
                <w:b/>
                <w:sz w:val="20"/>
                <w:szCs w:val="20"/>
                <w:lang w:val="en-GB"/>
              </w:rPr>
            </w:pPr>
          </w:p>
        </w:tc>
        <w:tc>
          <w:tcPr>
            <w:tcW w:w="1634" w:type="dxa"/>
            <w:tcBorders>
              <w:left w:val="single" w:sz="4" w:space="0" w:color="000000"/>
            </w:tcBorders>
            <w:shd w:val="clear" w:color="auto" w:fill="auto"/>
          </w:tcPr>
          <w:p w:rsidR="00672834" w:rsidRDefault="00672834">
            <w:pPr>
              <w:snapToGrid w:val="0"/>
              <w:jc w:val="center"/>
              <w:rPr>
                <w:rFonts w:ascii="Arial" w:hAnsi="Arial" w:cs="Arial"/>
                <w:b/>
                <w:sz w:val="20"/>
                <w:szCs w:val="20"/>
                <w:lang w:val="en-GB"/>
              </w:rPr>
            </w:pPr>
          </w:p>
        </w:tc>
        <w:tc>
          <w:tcPr>
            <w:tcW w:w="1644" w:type="dxa"/>
            <w:tcBorders>
              <w:left w:val="single" w:sz="4" w:space="0" w:color="000000"/>
              <w:right w:val="single" w:sz="4" w:space="0" w:color="000000"/>
            </w:tcBorders>
            <w:shd w:val="clear" w:color="auto" w:fill="auto"/>
          </w:tcPr>
          <w:p w:rsidR="00672834" w:rsidRDefault="00672834">
            <w:pPr>
              <w:snapToGrid w:val="0"/>
              <w:jc w:val="center"/>
              <w:rPr>
                <w:rFonts w:ascii="Arial" w:hAnsi="Arial" w:cs="Arial"/>
                <w:b/>
                <w:sz w:val="20"/>
                <w:szCs w:val="20"/>
                <w:lang w:val="en-GB"/>
              </w:rPr>
            </w:pPr>
          </w:p>
        </w:tc>
      </w:tr>
      <w:tr w:rsidR="00672834">
        <w:tc>
          <w:tcPr>
            <w:tcW w:w="2084" w:type="dxa"/>
            <w:tcBorders>
              <w:left w:val="single" w:sz="4" w:space="0" w:color="000000"/>
            </w:tcBorders>
            <w:shd w:val="clear" w:color="auto" w:fill="auto"/>
          </w:tcPr>
          <w:p w:rsidR="00672834" w:rsidRDefault="00672834">
            <w:pPr>
              <w:tabs>
                <w:tab w:val="left" w:pos="626"/>
              </w:tabs>
              <w:snapToGrid w:val="0"/>
              <w:ind w:left="284" w:hanging="284"/>
              <w:rPr>
                <w:rFonts w:ascii="Arial" w:hAnsi="Arial" w:cs="Arial"/>
                <w:sz w:val="20"/>
                <w:szCs w:val="20"/>
                <w:lang w:val="en-GB"/>
              </w:rPr>
            </w:pPr>
            <w:r>
              <w:rPr>
                <w:rFonts w:ascii="Arial" w:hAnsi="Arial" w:cs="Arial"/>
                <w:sz w:val="20"/>
                <w:szCs w:val="20"/>
                <w:lang w:val="en-GB"/>
              </w:rPr>
              <w:t>Current income tax</w:t>
            </w:r>
          </w:p>
          <w:p w:rsidR="00672834" w:rsidRDefault="00672834">
            <w:pPr>
              <w:tabs>
                <w:tab w:val="left" w:pos="342"/>
              </w:tabs>
              <w:snapToGrid w:val="0"/>
              <w:rPr>
                <w:rFonts w:ascii="Arial" w:hAnsi="Arial" w:cs="Arial"/>
                <w:sz w:val="20"/>
                <w:szCs w:val="20"/>
                <w:lang w:val="en-GB"/>
              </w:rPr>
            </w:pPr>
            <w:r>
              <w:rPr>
                <w:rFonts w:ascii="Arial" w:hAnsi="Arial" w:cs="Arial"/>
                <w:sz w:val="20"/>
                <w:szCs w:val="20"/>
                <w:lang w:val="en-GB"/>
              </w:rPr>
              <w:t xml:space="preserve"> liabilities:</w:t>
            </w:r>
          </w:p>
        </w:tc>
        <w:tc>
          <w:tcPr>
            <w:tcW w:w="1400" w:type="dxa"/>
            <w:tcBorders>
              <w:lef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r>
              <w:rPr>
                <w:rFonts w:ascii="Arial" w:hAnsi="Arial" w:cs="Arial"/>
                <w:sz w:val="20"/>
                <w:szCs w:val="20"/>
                <w:lang w:val="en-GB"/>
              </w:rPr>
              <w:t>-</w:t>
            </w:r>
          </w:p>
        </w:tc>
        <w:tc>
          <w:tcPr>
            <w:tcW w:w="1567" w:type="dxa"/>
            <w:tcBorders>
              <w:lef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r>
              <w:rPr>
                <w:rFonts w:ascii="Arial" w:hAnsi="Arial" w:cs="Arial"/>
                <w:sz w:val="20"/>
                <w:szCs w:val="20"/>
                <w:lang w:val="en-GB"/>
              </w:rPr>
              <w:t>-</w:t>
            </w:r>
          </w:p>
        </w:tc>
        <w:tc>
          <w:tcPr>
            <w:tcW w:w="236" w:type="dxa"/>
            <w:tcBorders>
              <w:lef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c>
          <w:tcPr>
            <w:tcW w:w="1634" w:type="dxa"/>
            <w:tcBorders>
              <w:lef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r>
              <w:rPr>
                <w:rFonts w:ascii="Arial" w:hAnsi="Arial" w:cs="Arial"/>
                <w:sz w:val="20"/>
                <w:szCs w:val="20"/>
                <w:lang w:val="en-GB"/>
              </w:rPr>
              <w:t>-</w:t>
            </w:r>
          </w:p>
        </w:tc>
        <w:tc>
          <w:tcPr>
            <w:tcW w:w="1644" w:type="dxa"/>
            <w:tcBorders>
              <w:left w:val="single" w:sz="4" w:space="0" w:color="000000"/>
              <w:righ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r>
              <w:rPr>
                <w:rFonts w:ascii="Arial" w:hAnsi="Arial" w:cs="Arial"/>
                <w:sz w:val="20"/>
                <w:szCs w:val="20"/>
                <w:lang w:val="en-GB"/>
              </w:rPr>
              <w:t>-</w:t>
            </w:r>
          </w:p>
        </w:tc>
      </w:tr>
      <w:tr w:rsidR="00672834">
        <w:tc>
          <w:tcPr>
            <w:tcW w:w="2084" w:type="dxa"/>
            <w:tcBorders>
              <w:left w:val="single" w:sz="4" w:space="0" w:color="000000"/>
              <w:bottom w:val="single" w:sz="4" w:space="0" w:color="000000"/>
            </w:tcBorders>
            <w:shd w:val="clear" w:color="auto" w:fill="auto"/>
          </w:tcPr>
          <w:p w:rsidR="00672834" w:rsidRDefault="00672834">
            <w:pPr>
              <w:tabs>
                <w:tab w:val="left" w:pos="342"/>
              </w:tabs>
              <w:snapToGrid w:val="0"/>
              <w:rPr>
                <w:rFonts w:ascii="Arial" w:hAnsi="Arial" w:cs="Arial"/>
                <w:sz w:val="20"/>
                <w:szCs w:val="20"/>
                <w:lang w:val="en-GB"/>
              </w:rPr>
            </w:pPr>
          </w:p>
        </w:tc>
        <w:tc>
          <w:tcPr>
            <w:tcW w:w="1400" w:type="dxa"/>
            <w:tcBorders>
              <w:left w:val="single" w:sz="4" w:space="0" w:color="000000"/>
              <w:bottom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c>
          <w:tcPr>
            <w:tcW w:w="1567" w:type="dxa"/>
            <w:tcBorders>
              <w:left w:val="single" w:sz="4" w:space="0" w:color="000000"/>
              <w:bottom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c>
          <w:tcPr>
            <w:tcW w:w="236" w:type="dxa"/>
            <w:tcBorders>
              <w:left w:val="single" w:sz="4" w:space="0" w:color="000000"/>
              <w:bottom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c>
          <w:tcPr>
            <w:tcW w:w="1634" w:type="dxa"/>
            <w:tcBorders>
              <w:left w:val="single" w:sz="4" w:space="0" w:color="000000"/>
              <w:bottom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c>
          <w:tcPr>
            <w:tcW w:w="1644" w:type="dxa"/>
            <w:tcBorders>
              <w:left w:val="single" w:sz="4" w:space="0" w:color="000000"/>
              <w:bottom w:val="single" w:sz="4" w:space="0" w:color="000000"/>
              <w:right w:val="single" w:sz="4" w:space="0" w:color="000000"/>
            </w:tcBorders>
            <w:shd w:val="clear" w:color="auto" w:fill="auto"/>
          </w:tcPr>
          <w:p w:rsidR="00672834" w:rsidRDefault="00672834">
            <w:pPr>
              <w:snapToGrid w:val="0"/>
              <w:ind w:right="162"/>
              <w:jc w:val="right"/>
              <w:rPr>
                <w:rFonts w:ascii="Arial" w:hAnsi="Arial" w:cs="Arial"/>
                <w:sz w:val="20"/>
                <w:szCs w:val="20"/>
                <w:lang w:val="en-GB"/>
              </w:rPr>
            </w:pPr>
          </w:p>
        </w:tc>
      </w:tr>
    </w:tbl>
    <w:p w:rsidR="00672834" w:rsidRDefault="00672834"/>
    <w:p w:rsidR="00672834" w:rsidRDefault="00672834">
      <w:pPr>
        <w:numPr>
          <w:ilvl w:val="0"/>
          <w:numId w:val="2"/>
        </w:numPr>
        <w:tabs>
          <w:tab w:val="left" w:pos="360"/>
          <w:tab w:val="left" w:pos="767"/>
        </w:tabs>
        <w:ind w:left="360"/>
        <w:jc w:val="both"/>
        <w:rPr>
          <w:rFonts w:ascii="Arial" w:hAnsi="Arial" w:cs="Arial"/>
          <w:b/>
          <w:sz w:val="22"/>
          <w:szCs w:val="22"/>
          <w:lang w:val="en-GB"/>
        </w:rPr>
      </w:pPr>
      <w:r>
        <w:rPr>
          <w:rFonts w:ascii="Arial" w:hAnsi="Arial" w:cs="Arial"/>
          <w:b/>
          <w:sz w:val="22"/>
          <w:szCs w:val="22"/>
          <w:lang w:val="en-GB"/>
        </w:rPr>
        <w:t xml:space="preserve">Status of Corporate Proposal </w:t>
      </w:r>
    </w:p>
    <w:p w:rsidR="00672834" w:rsidRDefault="00672834">
      <w:pPr>
        <w:jc w:val="both"/>
        <w:rPr>
          <w:rFonts w:ascii="Arial" w:hAnsi="Arial" w:cs="Arial"/>
          <w:b/>
          <w:sz w:val="22"/>
          <w:szCs w:val="22"/>
          <w:lang w:val="en-GB"/>
        </w:rPr>
      </w:pPr>
    </w:p>
    <w:p w:rsidR="00672834" w:rsidRDefault="008556C4">
      <w:pPr>
        <w:pStyle w:val="BodyTextIndent2"/>
        <w:ind w:left="735"/>
        <w:rPr>
          <w:rFonts w:ascii="Arial" w:hAnsi="Arial" w:cs="Arial"/>
          <w:sz w:val="22"/>
          <w:szCs w:val="22"/>
        </w:rPr>
      </w:pPr>
      <w:r>
        <w:rPr>
          <w:rFonts w:ascii="Arial" w:hAnsi="Arial" w:cs="Arial"/>
          <w:sz w:val="22"/>
          <w:szCs w:val="22"/>
        </w:rPr>
        <w:t xml:space="preserve">On 28 February 2014, it was announced that the Company was considered an Affected Listed Issuer under Practice Note 17 of </w:t>
      </w:r>
      <w:r w:rsidR="00745B70">
        <w:rPr>
          <w:rFonts w:ascii="Arial" w:hAnsi="Arial" w:cs="Arial"/>
          <w:sz w:val="22"/>
          <w:szCs w:val="22"/>
        </w:rPr>
        <w:t>the</w:t>
      </w:r>
      <w:r>
        <w:rPr>
          <w:rFonts w:ascii="Arial" w:hAnsi="Arial" w:cs="Arial"/>
          <w:sz w:val="22"/>
          <w:szCs w:val="22"/>
        </w:rPr>
        <w:t xml:space="preserve"> Bursa Malaysia Securities Berhad’s Main Market Listing Requirement (“the MMLR”). Accordingly, the Company is required to inter alia submit a regularisation plan to the relevant authority within 12 months from the date of such announcement.</w:t>
      </w:r>
    </w:p>
    <w:p w:rsidR="00672834" w:rsidRDefault="00672834">
      <w:pPr>
        <w:pStyle w:val="BodyTextIndent2"/>
        <w:ind w:left="0"/>
        <w:rPr>
          <w:rFonts w:ascii="Arial" w:hAnsi="Arial" w:cs="Arial"/>
          <w:sz w:val="22"/>
          <w:szCs w:val="22"/>
        </w:rPr>
      </w:pPr>
    </w:p>
    <w:p w:rsidR="00672834" w:rsidRDefault="00672834">
      <w:pPr>
        <w:numPr>
          <w:ilvl w:val="0"/>
          <w:numId w:val="2"/>
        </w:numPr>
        <w:tabs>
          <w:tab w:val="left" w:pos="360"/>
        </w:tabs>
        <w:ind w:left="360"/>
        <w:jc w:val="both"/>
        <w:rPr>
          <w:rFonts w:ascii="Arial" w:hAnsi="Arial" w:cs="Arial"/>
          <w:b/>
          <w:sz w:val="22"/>
          <w:szCs w:val="22"/>
          <w:lang w:val="en-GB"/>
        </w:rPr>
      </w:pPr>
      <w:r>
        <w:rPr>
          <w:rFonts w:ascii="Arial" w:hAnsi="Arial" w:cs="Arial"/>
          <w:b/>
          <w:sz w:val="22"/>
          <w:szCs w:val="22"/>
          <w:lang w:val="en-GB"/>
        </w:rPr>
        <w:t xml:space="preserve"> Group Borrowings and Debt Securities</w:t>
      </w:r>
    </w:p>
    <w:p w:rsidR="00672834" w:rsidRDefault="00672834">
      <w:pPr>
        <w:jc w:val="both"/>
        <w:rPr>
          <w:rFonts w:ascii="Arial" w:hAnsi="Arial" w:cs="Arial"/>
          <w:b/>
          <w:sz w:val="22"/>
          <w:szCs w:val="22"/>
          <w:lang w:val="en-GB"/>
        </w:rPr>
      </w:pPr>
    </w:p>
    <w:p w:rsidR="00672834" w:rsidRDefault="00672834">
      <w:pPr>
        <w:ind w:left="750"/>
        <w:jc w:val="both"/>
        <w:rPr>
          <w:rFonts w:ascii="Arial" w:hAnsi="Arial" w:cs="Arial"/>
          <w:b/>
          <w:sz w:val="22"/>
          <w:szCs w:val="22"/>
          <w:lang w:val="en-GB"/>
        </w:rPr>
      </w:pPr>
      <w:r>
        <w:rPr>
          <w:rFonts w:ascii="Arial" w:hAnsi="Arial" w:cs="Arial"/>
          <w:b/>
          <w:sz w:val="22"/>
          <w:szCs w:val="22"/>
          <w:lang w:val="en-GB"/>
        </w:rPr>
        <w:t xml:space="preserve">The Group’s borrowings as at 31 March 2014 are all denominated in Ringgit Malaysia and are as follows: </w:t>
      </w:r>
    </w:p>
    <w:p w:rsidR="00672834" w:rsidRDefault="00672834">
      <w:pPr>
        <w:ind w:left="750"/>
        <w:jc w:val="both"/>
        <w:rPr>
          <w:rFonts w:ascii="Arial" w:hAnsi="Arial" w:cs="Arial"/>
          <w:b/>
          <w:sz w:val="22"/>
          <w:szCs w:val="22"/>
          <w:lang w:val="en-GB"/>
        </w:rPr>
      </w:pPr>
    </w:p>
    <w:tbl>
      <w:tblPr>
        <w:tblW w:w="0" w:type="auto"/>
        <w:tblInd w:w="843" w:type="dxa"/>
        <w:tblLayout w:type="fixed"/>
        <w:tblLook w:val="0000"/>
      </w:tblPr>
      <w:tblGrid>
        <w:gridCol w:w="3854"/>
        <w:gridCol w:w="1993"/>
      </w:tblGrid>
      <w:tr w:rsidR="00672834">
        <w:tc>
          <w:tcPr>
            <w:tcW w:w="3854" w:type="dxa"/>
            <w:shd w:val="clear" w:color="auto" w:fill="auto"/>
          </w:tcPr>
          <w:p w:rsidR="00672834" w:rsidRDefault="00672834">
            <w:pPr>
              <w:pStyle w:val="DefaultText"/>
              <w:snapToGrid w:val="0"/>
            </w:pPr>
          </w:p>
        </w:tc>
        <w:tc>
          <w:tcPr>
            <w:tcW w:w="1993" w:type="dxa"/>
            <w:shd w:val="clear" w:color="auto" w:fill="auto"/>
          </w:tcPr>
          <w:p w:rsidR="00672834" w:rsidRDefault="00672834">
            <w:pPr>
              <w:snapToGrid w:val="0"/>
              <w:jc w:val="center"/>
              <w:rPr>
                <w:rFonts w:ascii="Arial" w:hAnsi="Arial" w:cs="Arial"/>
                <w:b/>
                <w:sz w:val="22"/>
                <w:szCs w:val="22"/>
                <w:u w:val="single"/>
                <w:lang w:val="en-GB"/>
              </w:rPr>
            </w:pPr>
            <w:r>
              <w:rPr>
                <w:rFonts w:ascii="Arial" w:hAnsi="Arial" w:cs="Arial"/>
                <w:b/>
                <w:sz w:val="22"/>
                <w:szCs w:val="22"/>
                <w:lang w:val="en-GB"/>
              </w:rPr>
              <w:t xml:space="preserve"> RM’000</w:t>
            </w:r>
          </w:p>
        </w:tc>
      </w:tr>
      <w:tr w:rsidR="00672834">
        <w:tc>
          <w:tcPr>
            <w:tcW w:w="3854" w:type="dxa"/>
            <w:shd w:val="clear" w:color="auto" w:fill="auto"/>
          </w:tcPr>
          <w:p w:rsidR="00672834" w:rsidRDefault="00672834">
            <w:pPr>
              <w:snapToGrid w:val="0"/>
              <w:rPr>
                <w:rFonts w:ascii="Arial" w:hAnsi="Arial" w:cs="Arial"/>
                <w:sz w:val="22"/>
                <w:szCs w:val="22"/>
                <w:lang w:val="en-GB"/>
              </w:rPr>
            </w:pPr>
            <w:r>
              <w:rPr>
                <w:rFonts w:ascii="Arial" w:hAnsi="Arial" w:cs="Arial"/>
                <w:b/>
                <w:sz w:val="22"/>
                <w:szCs w:val="22"/>
                <w:u w:val="single"/>
                <w:lang w:val="en-GB"/>
              </w:rPr>
              <w:t>Current</w:t>
            </w:r>
          </w:p>
        </w:tc>
        <w:tc>
          <w:tcPr>
            <w:tcW w:w="1993" w:type="dxa"/>
            <w:shd w:val="clear" w:color="auto" w:fill="auto"/>
          </w:tcPr>
          <w:p w:rsidR="00672834" w:rsidRDefault="00672834">
            <w:pPr>
              <w:pStyle w:val="DefaultText"/>
              <w:snapToGrid w:val="0"/>
              <w:rPr>
                <w:rFonts w:ascii="Arial" w:hAnsi="Arial" w:cs="Arial"/>
                <w:sz w:val="22"/>
                <w:szCs w:val="22"/>
                <w:lang w:val="en-GB"/>
              </w:rPr>
            </w:pPr>
          </w:p>
        </w:tc>
      </w:tr>
      <w:tr w:rsidR="00672834">
        <w:tc>
          <w:tcPr>
            <w:tcW w:w="5847" w:type="dxa"/>
            <w:gridSpan w:val="2"/>
            <w:shd w:val="clear" w:color="auto" w:fill="auto"/>
          </w:tcPr>
          <w:p w:rsidR="00672834" w:rsidRDefault="00672834">
            <w:pPr>
              <w:pStyle w:val="DefaultText"/>
              <w:snapToGrid w:val="0"/>
              <w:rPr>
                <w:rFonts w:ascii="Arial" w:hAnsi="Arial" w:cs="Arial"/>
                <w:sz w:val="22"/>
                <w:szCs w:val="22"/>
                <w:lang w:val="en-GB"/>
              </w:rPr>
            </w:pPr>
            <w:r>
              <w:rPr>
                <w:rFonts w:ascii="Arial" w:hAnsi="Arial" w:cs="Arial"/>
                <w:sz w:val="22"/>
                <w:szCs w:val="22"/>
                <w:lang w:val="en-GB"/>
              </w:rPr>
              <w:t xml:space="preserve">      Banker's acceptances - secured                     30,897</w:t>
            </w:r>
          </w:p>
        </w:tc>
      </w:tr>
      <w:tr w:rsidR="00672834">
        <w:tc>
          <w:tcPr>
            <w:tcW w:w="5847" w:type="dxa"/>
            <w:gridSpan w:val="2"/>
            <w:shd w:val="clear" w:color="auto" w:fill="auto"/>
          </w:tcPr>
          <w:p w:rsidR="00672834" w:rsidRDefault="00672834">
            <w:pPr>
              <w:pStyle w:val="DefaultText"/>
              <w:snapToGrid w:val="0"/>
              <w:rPr>
                <w:rFonts w:ascii="Arial" w:hAnsi="Arial" w:cs="Arial"/>
                <w:sz w:val="22"/>
                <w:szCs w:val="22"/>
                <w:lang w:val="en-GB"/>
              </w:rPr>
            </w:pPr>
            <w:r>
              <w:rPr>
                <w:rFonts w:ascii="Arial" w:hAnsi="Arial" w:cs="Arial"/>
                <w:sz w:val="22"/>
                <w:szCs w:val="22"/>
                <w:lang w:val="en-GB"/>
              </w:rPr>
              <w:t xml:space="preserve">      Bank Overdrafts – secured                               2,310</w:t>
            </w:r>
          </w:p>
        </w:tc>
      </w:tr>
      <w:tr w:rsidR="00672834">
        <w:tc>
          <w:tcPr>
            <w:tcW w:w="5847" w:type="dxa"/>
            <w:gridSpan w:val="2"/>
            <w:shd w:val="clear" w:color="auto" w:fill="auto"/>
          </w:tcPr>
          <w:p w:rsidR="00672834" w:rsidRDefault="00672834">
            <w:pPr>
              <w:pStyle w:val="DefaultText"/>
              <w:snapToGrid w:val="0"/>
              <w:rPr>
                <w:rFonts w:ascii="Arial" w:hAnsi="Arial" w:cs="Arial"/>
                <w:sz w:val="22"/>
                <w:szCs w:val="22"/>
                <w:lang w:val="en-GB"/>
              </w:rPr>
            </w:pPr>
            <w:r>
              <w:rPr>
                <w:rFonts w:ascii="Arial" w:hAnsi="Arial" w:cs="Arial"/>
                <w:sz w:val="22"/>
                <w:szCs w:val="22"/>
                <w:lang w:val="en-GB"/>
              </w:rPr>
              <w:t xml:space="preserve">      Term Loan – secured                                        1,891</w:t>
            </w:r>
          </w:p>
        </w:tc>
      </w:tr>
      <w:tr w:rsidR="00672834">
        <w:tc>
          <w:tcPr>
            <w:tcW w:w="5847" w:type="dxa"/>
            <w:gridSpan w:val="2"/>
            <w:shd w:val="clear" w:color="auto" w:fill="auto"/>
          </w:tcPr>
          <w:p w:rsidR="00672834" w:rsidRDefault="00672834">
            <w:pPr>
              <w:pStyle w:val="DefaultText"/>
              <w:snapToGrid w:val="0"/>
              <w:rPr>
                <w:rFonts w:ascii="Arial" w:hAnsi="Arial" w:cs="Arial"/>
                <w:sz w:val="22"/>
                <w:szCs w:val="22"/>
                <w:lang w:val="en-GB"/>
              </w:rPr>
            </w:pPr>
            <w:r>
              <w:rPr>
                <w:rFonts w:ascii="Arial" w:hAnsi="Arial" w:cs="Arial"/>
                <w:sz w:val="22"/>
                <w:szCs w:val="22"/>
                <w:lang w:val="en-GB"/>
              </w:rPr>
              <w:t xml:space="preserve">      Hire Purchase                                                     583</w:t>
            </w:r>
          </w:p>
        </w:tc>
      </w:tr>
      <w:tr w:rsidR="00672834">
        <w:tc>
          <w:tcPr>
            <w:tcW w:w="3854" w:type="dxa"/>
            <w:shd w:val="clear" w:color="auto" w:fill="auto"/>
          </w:tcPr>
          <w:p w:rsidR="00672834" w:rsidRDefault="00672834">
            <w:pPr>
              <w:pStyle w:val="DefaultText"/>
              <w:snapToGrid w:val="0"/>
              <w:rPr>
                <w:rFonts w:ascii="Arial" w:hAnsi="Arial" w:cs="Arial"/>
                <w:sz w:val="22"/>
                <w:szCs w:val="22"/>
                <w:lang w:val="en-GB"/>
              </w:rPr>
            </w:pPr>
          </w:p>
        </w:tc>
        <w:tc>
          <w:tcPr>
            <w:tcW w:w="1993" w:type="dxa"/>
            <w:tcBorders>
              <w:top w:val="single" w:sz="4" w:space="0" w:color="000000"/>
              <w:bottom w:val="single" w:sz="4" w:space="0" w:color="000000"/>
            </w:tcBorders>
            <w:shd w:val="clear" w:color="auto" w:fill="auto"/>
          </w:tcPr>
          <w:p w:rsidR="00672834" w:rsidRDefault="00672834">
            <w:pPr>
              <w:snapToGrid w:val="0"/>
              <w:ind w:left="1" w:right="206"/>
              <w:jc w:val="right"/>
              <w:rPr>
                <w:rFonts w:ascii="Arial" w:eastAsia="Times New Roman" w:hAnsi="Arial" w:cs="Arial"/>
                <w:sz w:val="22"/>
                <w:szCs w:val="22"/>
                <w:lang w:val="en-GB"/>
              </w:rPr>
            </w:pPr>
            <w:r>
              <w:rPr>
                <w:rFonts w:ascii="Arial" w:eastAsia="Times New Roman" w:hAnsi="Arial" w:cs="Arial"/>
                <w:sz w:val="22"/>
                <w:szCs w:val="22"/>
                <w:lang w:val="en-GB"/>
              </w:rPr>
              <w:t>35,681</w:t>
            </w:r>
          </w:p>
        </w:tc>
      </w:tr>
      <w:tr w:rsidR="00672834">
        <w:tc>
          <w:tcPr>
            <w:tcW w:w="3854" w:type="dxa"/>
            <w:shd w:val="clear" w:color="auto" w:fill="auto"/>
          </w:tcPr>
          <w:p w:rsidR="00672834" w:rsidRDefault="00672834">
            <w:pPr>
              <w:pStyle w:val="DefaultText"/>
              <w:snapToGrid w:val="0"/>
              <w:rPr>
                <w:rFonts w:ascii="Arial" w:hAnsi="Arial" w:cs="Arial"/>
                <w:sz w:val="22"/>
                <w:szCs w:val="22"/>
                <w:lang w:val="en-GB"/>
              </w:rPr>
            </w:pPr>
          </w:p>
        </w:tc>
        <w:tc>
          <w:tcPr>
            <w:tcW w:w="1993" w:type="dxa"/>
            <w:shd w:val="clear" w:color="auto" w:fill="auto"/>
          </w:tcPr>
          <w:p w:rsidR="00672834" w:rsidRDefault="00672834">
            <w:pPr>
              <w:snapToGrid w:val="0"/>
              <w:ind w:right="162"/>
              <w:jc w:val="right"/>
              <w:rPr>
                <w:rFonts w:ascii="Arial" w:hAnsi="Arial" w:cs="Arial"/>
                <w:sz w:val="22"/>
                <w:szCs w:val="22"/>
                <w:lang w:val="en-GB"/>
              </w:rPr>
            </w:pPr>
          </w:p>
        </w:tc>
      </w:tr>
      <w:tr w:rsidR="00672834">
        <w:tc>
          <w:tcPr>
            <w:tcW w:w="3854" w:type="dxa"/>
            <w:shd w:val="clear" w:color="auto" w:fill="auto"/>
          </w:tcPr>
          <w:p w:rsidR="00672834" w:rsidRDefault="00672834">
            <w:pPr>
              <w:snapToGrid w:val="0"/>
              <w:rPr>
                <w:rFonts w:ascii="Arial" w:hAnsi="Arial" w:cs="Arial"/>
                <w:sz w:val="22"/>
                <w:szCs w:val="22"/>
                <w:lang w:val="en-GB"/>
              </w:rPr>
            </w:pPr>
            <w:r>
              <w:rPr>
                <w:rFonts w:ascii="Arial" w:hAnsi="Arial" w:cs="Arial"/>
                <w:b/>
                <w:sz w:val="22"/>
                <w:szCs w:val="22"/>
                <w:u w:val="single"/>
                <w:lang w:val="en-GB"/>
              </w:rPr>
              <w:t>Non-Current</w:t>
            </w:r>
          </w:p>
        </w:tc>
        <w:tc>
          <w:tcPr>
            <w:tcW w:w="1993" w:type="dxa"/>
            <w:shd w:val="clear" w:color="auto" w:fill="auto"/>
          </w:tcPr>
          <w:p w:rsidR="00672834" w:rsidRDefault="00672834">
            <w:pPr>
              <w:snapToGrid w:val="0"/>
              <w:ind w:right="162"/>
              <w:jc w:val="right"/>
              <w:rPr>
                <w:rFonts w:ascii="Arial" w:hAnsi="Arial" w:cs="Arial"/>
                <w:sz w:val="22"/>
                <w:szCs w:val="22"/>
                <w:lang w:val="en-GB"/>
              </w:rPr>
            </w:pPr>
          </w:p>
        </w:tc>
      </w:tr>
      <w:tr w:rsidR="00672834">
        <w:tc>
          <w:tcPr>
            <w:tcW w:w="5847" w:type="dxa"/>
            <w:gridSpan w:val="2"/>
            <w:shd w:val="clear" w:color="auto" w:fill="auto"/>
          </w:tcPr>
          <w:p w:rsidR="00672834" w:rsidRDefault="00672834">
            <w:pPr>
              <w:tabs>
                <w:tab w:val="left" w:pos="342"/>
              </w:tabs>
              <w:snapToGrid w:val="0"/>
              <w:rPr>
                <w:rFonts w:ascii="Arial" w:hAnsi="Arial" w:cs="Arial"/>
                <w:sz w:val="22"/>
                <w:szCs w:val="22"/>
                <w:lang w:val="en-GB"/>
              </w:rPr>
            </w:pPr>
            <w:r>
              <w:rPr>
                <w:rFonts w:ascii="Arial" w:hAnsi="Arial" w:cs="Arial"/>
                <w:sz w:val="22"/>
                <w:szCs w:val="22"/>
                <w:lang w:val="en-GB"/>
              </w:rPr>
              <w:tab/>
              <w:t>Term Loan-secured                                           9,068</w:t>
            </w:r>
          </w:p>
        </w:tc>
      </w:tr>
      <w:tr w:rsidR="00672834">
        <w:tc>
          <w:tcPr>
            <w:tcW w:w="5847" w:type="dxa"/>
            <w:gridSpan w:val="2"/>
            <w:shd w:val="clear" w:color="auto" w:fill="auto"/>
          </w:tcPr>
          <w:p w:rsidR="00672834" w:rsidRDefault="00672834">
            <w:pPr>
              <w:pStyle w:val="DefaultText"/>
              <w:snapToGrid w:val="0"/>
              <w:ind w:left="1" w:right="110"/>
              <w:rPr>
                <w:rFonts w:ascii="Arial" w:hAnsi="Arial" w:cs="Arial"/>
                <w:sz w:val="22"/>
                <w:szCs w:val="22"/>
                <w:lang w:val="en-GB"/>
              </w:rPr>
            </w:pPr>
            <w:r>
              <w:rPr>
                <w:rFonts w:ascii="Arial" w:hAnsi="Arial" w:cs="Arial"/>
                <w:sz w:val="22"/>
                <w:szCs w:val="22"/>
                <w:lang w:val="en-GB"/>
              </w:rPr>
              <w:t xml:space="preserve">      Hire Purchase                                                     769</w:t>
            </w:r>
          </w:p>
        </w:tc>
      </w:tr>
      <w:tr w:rsidR="00672834">
        <w:tc>
          <w:tcPr>
            <w:tcW w:w="3854" w:type="dxa"/>
            <w:shd w:val="clear" w:color="auto" w:fill="auto"/>
          </w:tcPr>
          <w:p w:rsidR="00672834" w:rsidRDefault="00672834">
            <w:pPr>
              <w:pStyle w:val="DefaultText"/>
              <w:snapToGrid w:val="0"/>
              <w:rPr>
                <w:rFonts w:ascii="Arial" w:hAnsi="Arial" w:cs="Arial"/>
                <w:sz w:val="22"/>
                <w:szCs w:val="22"/>
                <w:lang w:val="en-GB"/>
              </w:rPr>
            </w:pPr>
          </w:p>
        </w:tc>
        <w:tc>
          <w:tcPr>
            <w:tcW w:w="1993" w:type="dxa"/>
            <w:tcBorders>
              <w:top w:val="single" w:sz="4" w:space="0" w:color="000000"/>
              <w:bottom w:val="single" w:sz="4" w:space="0" w:color="000000"/>
            </w:tcBorders>
            <w:shd w:val="clear" w:color="auto" w:fill="auto"/>
          </w:tcPr>
          <w:p w:rsidR="00672834" w:rsidRDefault="00672834">
            <w:pPr>
              <w:snapToGrid w:val="0"/>
              <w:ind w:right="162"/>
              <w:jc w:val="right"/>
              <w:rPr>
                <w:rFonts w:ascii="Arial" w:hAnsi="Arial" w:cs="Arial"/>
                <w:b/>
                <w:sz w:val="22"/>
                <w:szCs w:val="22"/>
                <w:lang w:val="en-GB"/>
              </w:rPr>
            </w:pPr>
            <w:r>
              <w:rPr>
                <w:rFonts w:ascii="Arial" w:hAnsi="Arial" w:cs="Arial"/>
                <w:sz w:val="22"/>
                <w:szCs w:val="22"/>
                <w:lang w:val="en-GB"/>
              </w:rPr>
              <w:t>9,837</w:t>
            </w:r>
          </w:p>
        </w:tc>
      </w:tr>
      <w:tr w:rsidR="00672834">
        <w:tc>
          <w:tcPr>
            <w:tcW w:w="3854" w:type="dxa"/>
            <w:shd w:val="clear" w:color="auto" w:fill="auto"/>
          </w:tcPr>
          <w:p w:rsidR="00672834" w:rsidRDefault="00672834">
            <w:pPr>
              <w:pStyle w:val="DefaultText"/>
              <w:snapToGrid w:val="0"/>
              <w:rPr>
                <w:rFonts w:ascii="Arial" w:hAnsi="Arial" w:cs="Arial"/>
                <w:b/>
                <w:sz w:val="22"/>
                <w:szCs w:val="22"/>
                <w:lang w:val="en-GB"/>
              </w:rPr>
            </w:pPr>
            <w:r>
              <w:rPr>
                <w:rFonts w:ascii="Arial" w:hAnsi="Arial" w:cs="Arial"/>
                <w:b/>
                <w:sz w:val="22"/>
                <w:szCs w:val="22"/>
                <w:lang w:val="en-GB"/>
              </w:rPr>
              <w:t>TOTAL</w:t>
            </w:r>
          </w:p>
        </w:tc>
        <w:tc>
          <w:tcPr>
            <w:tcW w:w="1993" w:type="dxa"/>
            <w:tcBorders>
              <w:bottom w:val="single" w:sz="4" w:space="0" w:color="000000"/>
            </w:tcBorders>
            <w:shd w:val="clear" w:color="auto" w:fill="auto"/>
          </w:tcPr>
          <w:p w:rsidR="00672834" w:rsidRDefault="00672834">
            <w:pPr>
              <w:snapToGrid w:val="0"/>
              <w:ind w:right="162"/>
              <w:jc w:val="right"/>
            </w:pPr>
            <w:r>
              <w:rPr>
                <w:rFonts w:ascii="Arial" w:hAnsi="Arial" w:cs="Arial"/>
                <w:b/>
                <w:sz w:val="22"/>
                <w:szCs w:val="22"/>
                <w:lang w:val="en-GB"/>
              </w:rPr>
              <w:t>45,518</w:t>
            </w:r>
          </w:p>
        </w:tc>
      </w:tr>
    </w:tbl>
    <w:p w:rsidR="00672834" w:rsidRDefault="00672834">
      <w:pPr>
        <w:jc w:val="both"/>
      </w:pPr>
    </w:p>
    <w:p w:rsidR="00672834" w:rsidRDefault="00672834">
      <w:pPr>
        <w:jc w:val="both"/>
      </w:pPr>
    </w:p>
    <w:p w:rsidR="00672834" w:rsidRDefault="00672834">
      <w:pPr>
        <w:jc w:val="both"/>
      </w:pPr>
    </w:p>
    <w:p w:rsidR="00672834" w:rsidRDefault="00672834">
      <w:pPr>
        <w:jc w:val="both"/>
      </w:pPr>
    </w:p>
    <w:p w:rsidR="00672834" w:rsidRDefault="00672834">
      <w:pPr>
        <w:jc w:val="both"/>
      </w:pPr>
    </w:p>
    <w:p w:rsidR="00672834" w:rsidRDefault="00672834">
      <w:pPr>
        <w:numPr>
          <w:ilvl w:val="0"/>
          <w:numId w:val="2"/>
        </w:numPr>
        <w:tabs>
          <w:tab w:val="left" w:pos="360"/>
        </w:tabs>
        <w:ind w:left="360"/>
        <w:jc w:val="both"/>
        <w:rPr>
          <w:b/>
          <w:bCs/>
          <w:sz w:val="22"/>
          <w:szCs w:val="22"/>
        </w:rPr>
      </w:pPr>
      <w:r>
        <w:rPr>
          <w:rFonts w:ascii="Arial" w:hAnsi="Arial" w:cs="Arial"/>
          <w:b/>
          <w:bCs/>
          <w:sz w:val="22"/>
          <w:szCs w:val="22"/>
        </w:rPr>
        <w:t xml:space="preserve"> Realised and Unrealised Accumulated Losses</w:t>
      </w:r>
    </w:p>
    <w:p w:rsidR="00672834" w:rsidRDefault="00672834">
      <w:pPr>
        <w:rPr>
          <w:b/>
          <w:bCs/>
          <w:sz w:val="22"/>
          <w:szCs w:val="22"/>
        </w:rPr>
      </w:pPr>
    </w:p>
    <w:tbl>
      <w:tblPr>
        <w:tblW w:w="0" w:type="auto"/>
        <w:tblInd w:w="843" w:type="dxa"/>
        <w:tblLayout w:type="fixed"/>
        <w:tblLook w:val="0000"/>
      </w:tblPr>
      <w:tblGrid>
        <w:gridCol w:w="3584"/>
        <w:gridCol w:w="1766"/>
        <w:gridCol w:w="417"/>
        <w:gridCol w:w="1780"/>
      </w:tblGrid>
      <w:tr w:rsidR="00672834">
        <w:tc>
          <w:tcPr>
            <w:tcW w:w="3584" w:type="dxa"/>
            <w:shd w:val="clear" w:color="auto" w:fill="auto"/>
          </w:tcPr>
          <w:p w:rsidR="00672834" w:rsidRDefault="00672834">
            <w:pPr>
              <w:snapToGrid w:val="0"/>
              <w:rPr>
                <w:rFonts w:ascii="Arial" w:hAnsi="Arial" w:cs="Arial"/>
                <w:sz w:val="22"/>
              </w:rPr>
            </w:pPr>
          </w:p>
        </w:tc>
        <w:tc>
          <w:tcPr>
            <w:tcW w:w="1766" w:type="dxa"/>
            <w:shd w:val="clear" w:color="auto" w:fill="auto"/>
          </w:tcPr>
          <w:p w:rsidR="00672834" w:rsidRDefault="00672834">
            <w:pPr>
              <w:snapToGrid w:val="0"/>
              <w:jc w:val="center"/>
              <w:rPr>
                <w:rFonts w:ascii="Arial" w:hAnsi="Arial" w:cs="Arial"/>
                <w:sz w:val="22"/>
              </w:rPr>
            </w:pPr>
            <w:r>
              <w:rPr>
                <w:rFonts w:ascii="Arial" w:hAnsi="Arial" w:cs="Arial"/>
                <w:b/>
                <w:bCs/>
                <w:sz w:val="22"/>
              </w:rPr>
              <w:t>As at</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jc w:val="center"/>
              <w:rPr>
                <w:rFonts w:ascii="Arial" w:hAnsi="Arial" w:cs="Arial"/>
                <w:sz w:val="22"/>
              </w:rPr>
            </w:pPr>
            <w:r>
              <w:rPr>
                <w:rFonts w:ascii="Arial" w:hAnsi="Arial" w:cs="Arial"/>
                <w:b/>
                <w:bCs/>
                <w:sz w:val="22"/>
              </w:rPr>
              <w:t>As at</w:t>
            </w:r>
          </w:p>
        </w:tc>
      </w:tr>
      <w:tr w:rsidR="00672834">
        <w:tc>
          <w:tcPr>
            <w:tcW w:w="3584" w:type="dxa"/>
            <w:shd w:val="clear" w:color="auto" w:fill="auto"/>
          </w:tcPr>
          <w:p w:rsidR="00672834" w:rsidRDefault="00672834">
            <w:pPr>
              <w:snapToGrid w:val="0"/>
              <w:rPr>
                <w:rFonts w:ascii="Arial" w:hAnsi="Arial" w:cs="Arial"/>
                <w:sz w:val="22"/>
              </w:rPr>
            </w:pPr>
          </w:p>
        </w:tc>
        <w:tc>
          <w:tcPr>
            <w:tcW w:w="1766" w:type="dxa"/>
            <w:shd w:val="clear" w:color="auto" w:fill="auto"/>
          </w:tcPr>
          <w:p w:rsidR="00672834" w:rsidRDefault="00672834">
            <w:pPr>
              <w:snapToGrid w:val="0"/>
              <w:jc w:val="center"/>
              <w:rPr>
                <w:rFonts w:ascii="Arial" w:hAnsi="Arial" w:cs="Arial"/>
                <w:sz w:val="22"/>
              </w:rPr>
            </w:pPr>
            <w:r>
              <w:rPr>
                <w:rFonts w:ascii="Arial" w:hAnsi="Arial" w:cs="Arial"/>
                <w:b/>
                <w:bCs/>
                <w:sz w:val="22"/>
              </w:rPr>
              <w:t>31/3/2014</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jc w:val="center"/>
              <w:rPr>
                <w:rFonts w:ascii="Arial" w:hAnsi="Arial" w:cs="Arial"/>
                <w:sz w:val="22"/>
              </w:rPr>
            </w:pPr>
            <w:r>
              <w:rPr>
                <w:rFonts w:ascii="Arial" w:hAnsi="Arial" w:cs="Arial"/>
                <w:b/>
                <w:bCs/>
                <w:sz w:val="22"/>
              </w:rPr>
              <w:t>31/3/2013</w:t>
            </w:r>
          </w:p>
        </w:tc>
      </w:tr>
      <w:tr w:rsidR="00672834">
        <w:tc>
          <w:tcPr>
            <w:tcW w:w="3584" w:type="dxa"/>
            <w:shd w:val="clear" w:color="auto" w:fill="auto"/>
          </w:tcPr>
          <w:p w:rsidR="00672834" w:rsidRDefault="00672834">
            <w:pPr>
              <w:snapToGrid w:val="0"/>
              <w:rPr>
                <w:rFonts w:ascii="Arial" w:hAnsi="Arial" w:cs="Arial"/>
                <w:sz w:val="22"/>
              </w:rPr>
            </w:pPr>
          </w:p>
        </w:tc>
        <w:tc>
          <w:tcPr>
            <w:tcW w:w="1766" w:type="dxa"/>
            <w:shd w:val="clear" w:color="auto" w:fill="auto"/>
          </w:tcPr>
          <w:p w:rsidR="00672834" w:rsidRDefault="00672834">
            <w:pPr>
              <w:snapToGrid w:val="0"/>
              <w:jc w:val="center"/>
              <w:rPr>
                <w:rFonts w:ascii="Arial" w:hAnsi="Arial" w:cs="Arial"/>
                <w:sz w:val="22"/>
              </w:rPr>
            </w:pPr>
            <w:r>
              <w:rPr>
                <w:rFonts w:ascii="Arial" w:hAnsi="Arial" w:cs="Arial"/>
                <w:b/>
                <w:bCs/>
                <w:sz w:val="22"/>
              </w:rPr>
              <w:t>RM’000</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jc w:val="center"/>
              <w:rPr>
                <w:rFonts w:ascii="Arial" w:hAnsi="Arial" w:cs="Arial"/>
                <w:sz w:val="22"/>
                <w:szCs w:val="22"/>
              </w:rPr>
            </w:pPr>
            <w:r>
              <w:rPr>
                <w:rFonts w:ascii="Arial" w:hAnsi="Arial" w:cs="Arial"/>
                <w:b/>
                <w:bCs/>
                <w:sz w:val="22"/>
              </w:rPr>
              <w:t>RM’000</w:t>
            </w:r>
          </w:p>
        </w:tc>
      </w:tr>
      <w:tr w:rsidR="00672834">
        <w:tc>
          <w:tcPr>
            <w:tcW w:w="3584" w:type="dxa"/>
            <w:shd w:val="clear" w:color="auto" w:fill="auto"/>
          </w:tcPr>
          <w:p w:rsidR="00672834" w:rsidRDefault="00672834">
            <w:pPr>
              <w:snapToGrid w:val="0"/>
              <w:rPr>
                <w:rFonts w:ascii="Arial" w:hAnsi="Arial" w:cs="Arial"/>
                <w:sz w:val="22"/>
              </w:rPr>
            </w:pPr>
            <w:r>
              <w:rPr>
                <w:rFonts w:ascii="Arial" w:hAnsi="Arial" w:cs="Arial"/>
                <w:sz w:val="22"/>
                <w:szCs w:val="22"/>
              </w:rPr>
              <w:t>Total accumulated losses of Company and its subsidiaries:</w:t>
            </w:r>
          </w:p>
        </w:tc>
        <w:tc>
          <w:tcPr>
            <w:tcW w:w="1766" w:type="dxa"/>
            <w:shd w:val="clear" w:color="auto" w:fill="auto"/>
          </w:tcPr>
          <w:p w:rsidR="00672834" w:rsidRDefault="00672834">
            <w:pPr>
              <w:snapToGrid w:val="0"/>
              <w:ind w:right="-72"/>
              <w:jc w:val="right"/>
              <w:rPr>
                <w:rFonts w:ascii="Arial" w:hAnsi="Arial" w:cs="Arial"/>
                <w:sz w:val="22"/>
              </w:rPr>
            </w:pP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ind w:right="-72"/>
              <w:jc w:val="right"/>
              <w:rPr>
                <w:rFonts w:ascii="Arial" w:hAnsi="Arial" w:cs="Arial"/>
                <w:sz w:val="22"/>
              </w:rPr>
            </w:pPr>
          </w:p>
        </w:tc>
      </w:tr>
      <w:tr w:rsidR="00672834">
        <w:tc>
          <w:tcPr>
            <w:tcW w:w="3584" w:type="dxa"/>
            <w:shd w:val="clear" w:color="auto" w:fill="auto"/>
          </w:tcPr>
          <w:p w:rsidR="00672834" w:rsidRDefault="00672834">
            <w:pPr>
              <w:snapToGrid w:val="0"/>
              <w:rPr>
                <w:rFonts w:ascii="Arial" w:hAnsi="Arial" w:cs="Arial"/>
                <w:sz w:val="22"/>
              </w:rPr>
            </w:pPr>
            <w:r>
              <w:rPr>
                <w:rFonts w:ascii="Arial" w:hAnsi="Arial" w:cs="Arial"/>
                <w:sz w:val="22"/>
              </w:rPr>
              <w:t xml:space="preserve"> - Realised</w:t>
            </w:r>
          </w:p>
        </w:tc>
        <w:tc>
          <w:tcPr>
            <w:tcW w:w="1766" w:type="dxa"/>
            <w:shd w:val="clear" w:color="auto" w:fill="auto"/>
          </w:tcPr>
          <w:p w:rsidR="00672834" w:rsidRDefault="00672834">
            <w:pPr>
              <w:snapToGrid w:val="0"/>
              <w:ind w:right="72"/>
              <w:jc w:val="right"/>
              <w:rPr>
                <w:rFonts w:ascii="Arial" w:hAnsi="Arial" w:cs="Arial"/>
                <w:sz w:val="22"/>
              </w:rPr>
            </w:pPr>
            <w:r>
              <w:rPr>
                <w:rFonts w:ascii="Arial" w:hAnsi="Arial" w:cs="Arial"/>
                <w:sz w:val="22"/>
              </w:rPr>
              <w:t>(32,906)</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ind w:right="72"/>
              <w:jc w:val="right"/>
              <w:rPr>
                <w:rFonts w:ascii="Arial" w:hAnsi="Arial" w:cs="Arial"/>
                <w:sz w:val="22"/>
              </w:rPr>
            </w:pPr>
            <w:r>
              <w:rPr>
                <w:rFonts w:ascii="Arial" w:hAnsi="Arial" w:cs="Arial"/>
                <w:sz w:val="22"/>
              </w:rPr>
              <w:t>(30,556)</w:t>
            </w:r>
          </w:p>
        </w:tc>
      </w:tr>
      <w:tr w:rsidR="00672834">
        <w:tc>
          <w:tcPr>
            <w:tcW w:w="3584" w:type="dxa"/>
            <w:shd w:val="clear" w:color="auto" w:fill="auto"/>
          </w:tcPr>
          <w:p w:rsidR="00672834" w:rsidRDefault="00672834">
            <w:pPr>
              <w:snapToGrid w:val="0"/>
              <w:rPr>
                <w:rFonts w:ascii="Arial" w:hAnsi="Arial" w:cs="Arial"/>
                <w:sz w:val="22"/>
              </w:rPr>
            </w:pPr>
            <w:r>
              <w:rPr>
                <w:rFonts w:ascii="Arial" w:hAnsi="Arial" w:cs="Arial"/>
                <w:sz w:val="22"/>
              </w:rPr>
              <w:t xml:space="preserve"> - Unrealised</w:t>
            </w:r>
          </w:p>
        </w:tc>
        <w:tc>
          <w:tcPr>
            <w:tcW w:w="1766" w:type="dxa"/>
            <w:shd w:val="clear" w:color="auto" w:fill="auto"/>
          </w:tcPr>
          <w:p w:rsidR="00672834" w:rsidRDefault="00672834">
            <w:pPr>
              <w:snapToGrid w:val="0"/>
              <w:ind w:right="72"/>
              <w:jc w:val="right"/>
              <w:rPr>
                <w:rFonts w:ascii="Arial" w:hAnsi="Arial" w:cs="Arial"/>
                <w:sz w:val="22"/>
              </w:rPr>
            </w:pPr>
            <w:r>
              <w:rPr>
                <w:rFonts w:ascii="Arial" w:hAnsi="Arial" w:cs="Arial"/>
                <w:sz w:val="22"/>
              </w:rPr>
              <w:t>(433)</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ind w:right="72"/>
              <w:jc w:val="right"/>
              <w:rPr>
                <w:rFonts w:ascii="Arial" w:hAnsi="Arial" w:cs="Arial"/>
                <w:sz w:val="22"/>
              </w:rPr>
            </w:pPr>
            <w:r>
              <w:rPr>
                <w:rFonts w:ascii="Arial" w:hAnsi="Arial" w:cs="Arial"/>
                <w:sz w:val="22"/>
              </w:rPr>
              <w:t>(433)</w:t>
            </w:r>
          </w:p>
        </w:tc>
      </w:tr>
      <w:tr w:rsidR="00672834">
        <w:tc>
          <w:tcPr>
            <w:tcW w:w="3584" w:type="dxa"/>
            <w:shd w:val="clear" w:color="auto" w:fill="auto"/>
          </w:tcPr>
          <w:p w:rsidR="00672834" w:rsidRDefault="00672834">
            <w:pPr>
              <w:snapToGrid w:val="0"/>
              <w:rPr>
                <w:rFonts w:ascii="Arial" w:hAnsi="Arial" w:cs="Arial"/>
                <w:sz w:val="22"/>
              </w:rPr>
            </w:pPr>
            <w:r>
              <w:rPr>
                <w:rFonts w:ascii="Arial" w:hAnsi="Arial" w:cs="Arial"/>
                <w:sz w:val="22"/>
              </w:rPr>
              <w:t>Consolidation adjustments</w:t>
            </w:r>
          </w:p>
        </w:tc>
        <w:tc>
          <w:tcPr>
            <w:tcW w:w="1766" w:type="dxa"/>
            <w:shd w:val="clear" w:color="auto" w:fill="auto"/>
          </w:tcPr>
          <w:p w:rsidR="00672834" w:rsidRDefault="00672834">
            <w:pPr>
              <w:snapToGrid w:val="0"/>
              <w:ind w:right="72"/>
              <w:jc w:val="right"/>
              <w:rPr>
                <w:rFonts w:ascii="Arial" w:hAnsi="Arial" w:cs="Arial"/>
                <w:sz w:val="22"/>
              </w:rPr>
            </w:pPr>
            <w:r>
              <w:rPr>
                <w:rFonts w:ascii="Arial" w:hAnsi="Arial" w:cs="Arial"/>
                <w:sz w:val="22"/>
              </w:rPr>
              <w:t>451</w:t>
            </w:r>
          </w:p>
        </w:tc>
        <w:tc>
          <w:tcPr>
            <w:tcW w:w="417" w:type="dxa"/>
            <w:shd w:val="clear" w:color="auto" w:fill="auto"/>
          </w:tcPr>
          <w:p w:rsidR="00672834" w:rsidRDefault="00672834">
            <w:pPr>
              <w:snapToGrid w:val="0"/>
              <w:rPr>
                <w:rFonts w:ascii="Arial" w:hAnsi="Arial" w:cs="Arial"/>
                <w:sz w:val="22"/>
              </w:rPr>
            </w:pPr>
          </w:p>
        </w:tc>
        <w:tc>
          <w:tcPr>
            <w:tcW w:w="1780" w:type="dxa"/>
            <w:shd w:val="clear" w:color="auto" w:fill="auto"/>
          </w:tcPr>
          <w:p w:rsidR="00672834" w:rsidRDefault="00672834">
            <w:pPr>
              <w:snapToGrid w:val="0"/>
              <w:ind w:right="72"/>
              <w:jc w:val="right"/>
              <w:rPr>
                <w:szCs w:val="22"/>
              </w:rPr>
            </w:pPr>
            <w:r>
              <w:rPr>
                <w:rFonts w:ascii="Arial" w:hAnsi="Arial" w:cs="Arial"/>
                <w:sz w:val="22"/>
              </w:rPr>
              <w:t xml:space="preserve"> </w:t>
            </w:r>
            <w:r>
              <w:rPr>
                <w:rFonts w:ascii="Arial" w:hAnsi="Arial" w:cs="Arial"/>
                <w:sz w:val="22"/>
                <w:szCs w:val="22"/>
              </w:rPr>
              <w:t>451</w:t>
            </w:r>
          </w:p>
        </w:tc>
      </w:tr>
      <w:tr w:rsidR="00672834">
        <w:trPr>
          <w:trHeight w:val="327"/>
        </w:trPr>
        <w:tc>
          <w:tcPr>
            <w:tcW w:w="3584" w:type="dxa"/>
            <w:shd w:val="clear" w:color="auto" w:fill="auto"/>
          </w:tcPr>
          <w:p w:rsidR="00672834" w:rsidRDefault="00672834">
            <w:pPr>
              <w:snapToGrid w:val="0"/>
              <w:rPr>
                <w:rFonts w:ascii="Arial" w:hAnsi="Arial" w:cs="Arial"/>
                <w:sz w:val="22"/>
              </w:rPr>
            </w:pPr>
            <w:r>
              <w:rPr>
                <w:szCs w:val="22"/>
              </w:rPr>
              <w:t xml:space="preserve">Total Group </w:t>
            </w:r>
            <w:r>
              <w:rPr>
                <w:rFonts w:ascii="Arial" w:hAnsi="Arial" w:cs="Arial"/>
                <w:sz w:val="22"/>
                <w:szCs w:val="22"/>
              </w:rPr>
              <w:t>accumulated</w:t>
            </w:r>
            <w:r>
              <w:rPr>
                <w:szCs w:val="22"/>
              </w:rPr>
              <w:t xml:space="preserve"> losses</w:t>
            </w:r>
          </w:p>
        </w:tc>
        <w:tc>
          <w:tcPr>
            <w:tcW w:w="1766" w:type="dxa"/>
            <w:tcBorders>
              <w:top w:val="single" w:sz="4" w:space="0" w:color="000000"/>
              <w:bottom w:val="double" w:sz="1" w:space="0" w:color="000000"/>
            </w:tcBorders>
            <w:shd w:val="clear" w:color="auto" w:fill="auto"/>
          </w:tcPr>
          <w:p w:rsidR="00672834" w:rsidRDefault="00672834">
            <w:pPr>
              <w:snapToGrid w:val="0"/>
              <w:ind w:right="72"/>
              <w:jc w:val="right"/>
              <w:rPr>
                <w:rFonts w:ascii="Arial" w:hAnsi="Arial" w:cs="Arial"/>
                <w:sz w:val="22"/>
              </w:rPr>
            </w:pPr>
            <w:r>
              <w:rPr>
                <w:rFonts w:ascii="Arial" w:hAnsi="Arial" w:cs="Arial"/>
                <w:sz w:val="22"/>
              </w:rPr>
              <w:t>(32,888)</w:t>
            </w:r>
          </w:p>
        </w:tc>
        <w:tc>
          <w:tcPr>
            <w:tcW w:w="417" w:type="dxa"/>
            <w:shd w:val="clear" w:color="auto" w:fill="auto"/>
          </w:tcPr>
          <w:p w:rsidR="00672834" w:rsidRDefault="00672834">
            <w:pPr>
              <w:snapToGrid w:val="0"/>
              <w:rPr>
                <w:rFonts w:ascii="Arial" w:hAnsi="Arial" w:cs="Arial"/>
                <w:sz w:val="22"/>
              </w:rPr>
            </w:pPr>
          </w:p>
        </w:tc>
        <w:tc>
          <w:tcPr>
            <w:tcW w:w="1780" w:type="dxa"/>
            <w:tcBorders>
              <w:top w:val="single" w:sz="4" w:space="0" w:color="000000"/>
              <w:bottom w:val="double" w:sz="1" w:space="0" w:color="000000"/>
            </w:tcBorders>
            <w:shd w:val="clear" w:color="auto" w:fill="auto"/>
          </w:tcPr>
          <w:p w:rsidR="00672834" w:rsidRDefault="00672834">
            <w:pPr>
              <w:snapToGrid w:val="0"/>
              <w:ind w:right="72"/>
              <w:jc w:val="right"/>
            </w:pPr>
            <w:r>
              <w:rPr>
                <w:rFonts w:ascii="Arial" w:hAnsi="Arial" w:cs="Arial"/>
                <w:sz w:val="22"/>
              </w:rPr>
              <w:t>(30,538)</w:t>
            </w:r>
          </w:p>
        </w:tc>
      </w:tr>
    </w:tbl>
    <w:p w:rsidR="00672834" w:rsidRDefault="00672834">
      <w:pPr>
        <w:jc w:val="both"/>
      </w:pPr>
    </w:p>
    <w:p w:rsidR="00672834" w:rsidRDefault="00672834">
      <w:pPr>
        <w:jc w:val="both"/>
        <w:rPr>
          <w:rFonts w:ascii="Arial" w:hAnsi="Arial" w:cs="Arial"/>
          <w:sz w:val="22"/>
          <w:szCs w:val="22"/>
          <w:lang w:val="en-GB"/>
        </w:rPr>
      </w:pPr>
    </w:p>
    <w:p w:rsidR="00672834" w:rsidRDefault="00672834">
      <w:pPr>
        <w:numPr>
          <w:ilvl w:val="0"/>
          <w:numId w:val="2"/>
        </w:numPr>
        <w:tabs>
          <w:tab w:val="left" w:pos="360"/>
        </w:tabs>
        <w:ind w:left="360"/>
        <w:jc w:val="both"/>
        <w:rPr>
          <w:rFonts w:ascii="Arial" w:hAnsi="Arial" w:cs="Arial"/>
          <w:sz w:val="22"/>
          <w:szCs w:val="22"/>
          <w:lang w:val="en-GB"/>
        </w:rPr>
      </w:pPr>
      <w:r>
        <w:rPr>
          <w:rFonts w:ascii="Arial" w:hAnsi="Arial" w:cs="Arial"/>
          <w:b/>
          <w:sz w:val="22"/>
          <w:szCs w:val="22"/>
          <w:lang w:val="en-GB"/>
        </w:rPr>
        <w:t xml:space="preserve"> Changes in Material Litigation Since the Last Annual Balance Sheet Date</w:t>
      </w:r>
    </w:p>
    <w:p w:rsidR="00672834" w:rsidRDefault="00672834">
      <w:pPr>
        <w:jc w:val="both"/>
        <w:rPr>
          <w:rFonts w:ascii="Arial" w:hAnsi="Arial" w:cs="Arial"/>
          <w:sz w:val="22"/>
          <w:szCs w:val="22"/>
          <w:lang w:val="en-GB"/>
        </w:rPr>
      </w:pPr>
    </w:p>
    <w:p w:rsidR="00672834" w:rsidRDefault="00672834">
      <w:pPr>
        <w:ind w:left="750"/>
        <w:jc w:val="both"/>
        <w:rPr>
          <w:rFonts w:ascii="Arial" w:hAnsi="Arial" w:cs="Arial"/>
          <w:sz w:val="22"/>
          <w:szCs w:val="22"/>
          <w:lang w:val="en-GB"/>
        </w:rPr>
      </w:pPr>
      <w:r>
        <w:rPr>
          <w:rFonts w:ascii="Arial" w:hAnsi="Arial" w:cs="Arial"/>
          <w:sz w:val="22"/>
          <w:szCs w:val="22"/>
          <w:lang w:val="en-GB"/>
        </w:rPr>
        <w:t>As at the date of this announcement, the Group is not engaged in any material litigation either as plaintiff or defendant and the Directors do not have any knowledge of any proceedings pending or threatened against the Group</w:t>
      </w:r>
      <w:r>
        <w:rPr>
          <w:rFonts w:ascii="Arial" w:hAnsi="Arial" w:cs="Arial"/>
          <w:lang w:val="en-GB"/>
        </w:rPr>
        <w:t xml:space="preserve">. </w:t>
      </w:r>
    </w:p>
    <w:p w:rsidR="00672834" w:rsidRDefault="00672834">
      <w:pPr>
        <w:jc w:val="both"/>
        <w:rPr>
          <w:rFonts w:ascii="Arial" w:hAnsi="Arial" w:cs="Arial"/>
          <w:sz w:val="22"/>
          <w:szCs w:val="22"/>
          <w:lang w:val="en-GB"/>
        </w:rPr>
      </w:pPr>
    </w:p>
    <w:p w:rsidR="00672834" w:rsidRDefault="00672834">
      <w:pPr>
        <w:jc w:val="both"/>
        <w:rPr>
          <w:rFonts w:ascii="Arial" w:hAnsi="Arial" w:cs="Arial"/>
          <w:sz w:val="22"/>
          <w:szCs w:val="22"/>
          <w:lang w:val="en-GB"/>
        </w:rPr>
      </w:pPr>
    </w:p>
    <w:p w:rsidR="00672834" w:rsidRDefault="00672834">
      <w:pPr>
        <w:numPr>
          <w:ilvl w:val="0"/>
          <w:numId w:val="2"/>
        </w:numPr>
        <w:tabs>
          <w:tab w:val="left" w:pos="360"/>
        </w:tabs>
        <w:ind w:left="360"/>
        <w:jc w:val="both"/>
        <w:rPr>
          <w:rFonts w:ascii="Arial" w:hAnsi="Arial" w:cs="Arial"/>
          <w:b/>
          <w:sz w:val="22"/>
          <w:szCs w:val="22"/>
          <w:lang w:val="en-GB"/>
        </w:rPr>
      </w:pPr>
      <w:r>
        <w:rPr>
          <w:rFonts w:ascii="Arial" w:hAnsi="Arial" w:cs="Arial"/>
          <w:b/>
          <w:sz w:val="22"/>
          <w:szCs w:val="22"/>
          <w:lang w:val="en-GB"/>
        </w:rPr>
        <w:t xml:space="preserve"> Dividend Payable</w:t>
      </w:r>
    </w:p>
    <w:p w:rsidR="00672834" w:rsidRDefault="00672834">
      <w:pPr>
        <w:ind w:left="360"/>
        <w:jc w:val="both"/>
        <w:rPr>
          <w:rFonts w:ascii="Arial" w:hAnsi="Arial" w:cs="Arial"/>
          <w:b/>
          <w:sz w:val="22"/>
          <w:szCs w:val="22"/>
          <w:lang w:val="en-GB"/>
        </w:rPr>
      </w:pPr>
    </w:p>
    <w:p w:rsidR="00672834" w:rsidRDefault="00672834">
      <w:pPr>
        <w:ind w:left="735"/>
        <w:jc w:val="both"/>
        <w:rPr>
          <w:rFonts w:ascii="Arial" w:hAnsi="Arial" w:cs="Arial"/>
          <w:sz w:val="22"/>
          <w:szCs w:val="22"/>
          <w:lang w:val="en-GB"/>
        </w:rPr>
      </w:pPr>
      <w:r>
        <w:rPr>
          <w:rFonts w:ascii="Arial" w:hAnsi="Arial" w:cs="Arial"/>
          <w:sz w:val="22"/>
          <w:szCs w:val="22"/>
          <w:lang w:val="en-GB"/>
        </w:rPr>
        <w:t>The Group has not recommended or declared any dividend during the current quarter and period to date ended 31 March 2014.</w:t>
      </w:r>
    </w:p>
    <w:p w:rsidR="00672834" w:rsidRDefault="00672834">
      <w:pPr>
        <w:ind w:left="735"/>
        <w:jc w:val="both"/>
        <w:rPr>
          <w:rFonts w:ascii="Arial" w:hAnsi="Arial" w:cs="Arial"/>
          <w:sz w:val="22"/>
          <w:szCs w:val="22"/>
          <w:lang w:val="en-GB"/>
        </w:rPr>
      </w:pPr>
    </w:p>
    <w:p w:rsidR="00672834" w:rsidRDefault="00672834">
      <w:pPr>
        <w:ind w:left="735"/>
        <w:jc w:val="both"/>
        <w:rPr>
          <w:rFonts w:ascii="Arial" w:hAnsi="Arial" w:cs="Arial"/>
          <w:sz w:val="22"/>
          <w:szCs w:val="22"/>
          <w:lang w:val="en-GB"/>
        </w:rPr>
      </w:pPr>
    </w:p>
    <w:p w:rsidR="00672834" w:rsidRDefault="00672834">
      <w:pPr>
        <w:numPr>
          <w:ilvl w:val="0"/>
          <w:numId w:val="2"/>
        </w:numPr>
        <w:tabs>
          <w:tab w:val="left" w:pos="360"/>
        </w:tabs>
        <w:ind w:left="360"/>
        <w:jc w:val="both"/>
        <w:rPr>
          <w:rFonts w:ascii="Arial" w:hAnsi="Arial" w:cs="Arial"/>
          <w:b/>
          <w:sz w:val="22"/>
          <w:szCs w:val="22"/>
          <w:lang w:val="en-GB"/>
        </w:rPr>
      </w:pPr>
      <w:r>
        <w:rPr>
          <w:rFonts w:ascii="Arial" w:hAnsi="Arial" w:cs="Arial"/>
          <w:b/>
          <w:sz w:val="22"/>
          <w:szCs w:val="22"/>
          <w:lang w:val="en-GB"/>
        </w:rPr>
        <w:t xml:space="preserve"> Profit/(Loss) before income tax</w:t>
      </w:r>
    </w:p>
    <w:p w:rsidR="00672834" w:rsidRDefault="00672834">
      <w:pPr>
        <w:jc w:val="both"/>
        <w:rPr>
          <w:rFonts w:ascii="Arial" w:hAnsi="Arial" w:cs="Arial"/>
          <w:b/>
          <w:sz w:val="22"/>
          <w:szCs w:val="22"/>
          <w:lang w:val="en-GB"/>
        </w:rPr>
      </w:pPr>
    </w:p>
    <w:p w:rsidR="00672834" w:rsidRDefault="00672834">
      <w:pPr>
        <w:ind w:left="750"/>
        <w:jc w:val="both"/>
        <w:rPr>
          <w:rFonts w:ascii="Arial" w:hAnsi="Arial" w:cs="Arial"/>
          <w:sz w:val="22"/>
          <w:szCs w:val="22"/>
          <w:lang w:val="en-GB"/>
        </w:rPr>
      </w:pPr>
      <w:r>
        <w:rPr>
          <w:rFonts w:ascii="Arial" w:hAnsi="Arial" w:cs="Arial"/>
          <w:sz w:val="22"/>
          <w:szCs w:val="22"/>
          <w:lang w:val="en-GB"/>
        </w:rPr>
        <w:t>Profit/(Loss) before income tax is stated after charging/(crediting):-</w:t>
      </w:r>
    </w:p>
    <w:p w:rsidR="00672834" w:rsidRDefault="00672834">
      <w:pPr>
        <w:ind w:left="360"/>
        <w:jc w:val="both"/>
        <w:rPr>
          <w:rFonts w:ascii="Arial" w:hAnsi="Arial" w:cs="Arial"/>
          <w:sz w:val="22"/>
          <w:szCs w:val="22"/>
          <w:lang w:val="en-GB"/>
        </w:rPr>
      </w:pPr>
    </w:p>
    <w:tbl>
      <w:tblPr>
        <w:tblW w:w="0" w:type="auto"/>
        <w:tblInd w:w="873" w:type="dxa"/>
        <w:tblLayout w:type="fixed"/>
        <w:tblLook w:val="0000"/>
      </w:tblPr>
      <w:tblGrid>
        <w:gridCol w:w="4301"/>
        <w:gridCol w:w="1608"/>
        <w:gridCol w:w="236"/>
        <w:gridCol w:w="1621"/>
      </w:tblGrid>
      <w:tr w:rsidR="00672834">
        <w:tc>
          <w:tcPr>
            <w:tcW w:w="4301" w:type="dxa"/>
            <w:shd w:val="clear" w:color="auto" w:fill="auto"/>
          </w:tcPr>
          <w:p w:rsidR="00672834" w:rsidRDefault="00672834">
            <w:pPr>
              <w:snapToGrid w:val="0"/>
              <w:jc w:val="both"/>
              <w:rPr>
                <w:rFonts w:ascii="Arial" w:hAnsi="Arial" w:cs="Arial"/>
                <w:sz w:val="22"/>
                <w:szCs w:val="22"/>
              </w:rPr>
            </w:pPr>
          </w:p>
        </w:tc>
        <w:tc>
          <w:tcPr>
            <w:tcW w:w="1608" w:type="dxa"/>
            <w:shd w:val="clear" w:color="auto" w:fill="auto"/>
          </w:tcPr>
          <w:p w:rsidR="00672834" w:rsidRDefault="00672834">
            <w:pPr>
              <w:snapToGrid w:val="0"/>
              <w:ind w:right="-108"/>
              <w:jc w:val="center"/>
              <w:rPr>
                <w:rFonts w:ascii="Arial" w:hAnsi="Arial" w:cs="Arial"/>
                <w:b/>
                <w:sz w:val="22"/>
                <w:szCs w:val="22"/>
                <w:lang w:val="en-GB"/>
              </w:rPr>
            </w:pPr>
            <w:r>
              <w:rPr>
                <w:rFonts w:ascii="Arial" w:hAnsi="Arial" w:cs="Arial"/>
                <w:b/>
                <w:sz w:val="22"/>
                <w:szCs w:val="22"/>
                <w:lang w:val="en-GB"/>
              </w:rPr>
              <w:t>Current period quarter</w:t>
            </w:r>
          </w:p>
          <w:p w:rsidR="00672834" w:rsidRDefault="00672834">
            <w:pPr>
              <w:jc w:val="center"/>
              <w:rPr>
                <w:rFonts w:ascii="Arial" w:hAnsi="Arial" w:cs="Arial"/>
                <w:b/>
                <w:bCs/>
                <w:sz w:val="22"/>
                <w:szCs w:val="22"/>
              </w:rPr>
            </w:pPr>
            <w:r>
              <w:rPr>
                <w:rFonts w:ascii="Arial" w:hAnsi="Arial" w:cs="Arial"/>
                <w:b/>
                <w:sz w:val="22"/>
                <w:szCs w:val="22"/>
                <w:lang w:val="en-GB"/>
              </w:rPr>
              <w:t>31/3/2014</w:t>
            </w:r>
          </w:p>
        </w:tc>
        <w:tc>
          <w:tcPr>
            <w:tcW w:w="236" w:type="dxa"/>
            <w:shd w:val="clear" w:color="auto" w:fill="auto"/>
          </w:tcPr>
          <w:p w:rsidR="00672834" w:rsidRDefault="00672834">
            <w:pPr>
              <w:snapToGrid w:val="0"/>
              <w:jc w:val="center"/>
              <w:rPr>
                <w:rFonts w:ascii="Arial" w:hAnsi="Arial" w:cs="Arial"/>
                <w:b/>
                <w:bCs/>
                <w:sz w:val="22"/>
                <w:szCs w:val="22"/>
              </w:rPr>
            </w:pPr>
          </w:p>
        </w:tc>
        <w:tc>
          <w:tcPr>
            <w:tcW w:w="1621" w:type="dxa"/>
            <w:shd w:val="clear" w:color="auto" w:fill="auto"/>
          </w:tcPr>
          <w:p w:rsidR="00672834" w:rsidRDefault="00672834">
            <w:pPr>
              <w:snapToGrid w:val="0"/>
              <w:ind w:right="-108"/>
              <w:jc w:val="center"/>
              <w:rPr>
                <w:rFonts w:ascii="Arial" w:hAnsi="Arial" w:cs="Arial"/>
                <w:b/>
                <w:sz w:val="22"/>
                <w:szCs w:val="22"/>
                <w:lang w:val="en-GB"/>
              </w:rPr>
            </w:pPr>
            <w:r>
              <w:rPr>
                <w:rFonts w:ascii="Arial" w:hAnsi="Arial" w:cs="Arial"/>
                <w:b/>
                <w:sz w:val="22"/>
                <w:szCs w:val="22"/>
                <w:lang w:val="en-GB"/>
              </w:rPr>
              <w:t>Current year-to-date</w:t>
            </w:r>
          </w:p>
          <w:p w:rsidR="00672834" w:rsidRDefault="00672834">
            <w:pPr>
              <w:jc w:val="center"/>
              <w:rPr>
                <w:rFonts w:ascii="Arial" w:hAnsi="Arial" w:cs="Arial"/>
                <w:sz w:val="22"/>
                <w:szCs w:val="22"/>
              </w:rPr>
            </w:pPr>
            <w:r>
              <w:rPr>
                <w:rFonts w:ascii="Arial" w:hAnsi="Arial" w:cs="Arial"/>
                <w:b/>
                <w:sz w:val="22"/>
                <w:szCs w:val="22"/>
                <w:lang w:val="en-GB"/>
              </w:rPr>
              <w:t>31/3/2013</w:t>
            </w:r>
          </w:p>
        </w:tc>
      </w:tr>
      <w:tr w:rsidR="00672834">
        <w:tc>
          <w:tcPr>
            <w:tcW w:w="4301" w:type="dxa"/>
            <w:shd w:val="clear" w:color="auto" w:fill="auto"/>
          </w:tcPr>
          <w:p w:rsidR="00672834" w:rsidRDefault="00672834">
            <w:pPr>
              <w:snapToGrid w:val="0"/>
              <w:jc w:val="both"/>
              <w:rPr>
                <w:rFonts w:ascii="Arial" w:hAnsi="Arial" w:cs="Arial"/>
                <w:sz w:val="22"/>
                <w:szCs w:val="22"/>
              </w:rPr>
            </w:pPr>
          </w:p>
        </w:tc>
        <w:tc>
          <w:tcPr>
            <w:tcW w:w="1608" w:type="dxa"/>
            <w:shd w:val="clear" w:color="auto" w:fill="auto"/>
          </w:tcPr>
          <w:p w:rsidR="00672834" w:rsidRDefault="00672834">
            <w:pPr>
              <w:snapToGrid w:val="0"/>
              <w:jc w:val="center"/>
              <w:rPr>
                <w:rFonts w:ascii="Arial" w:hAnsi="Arial" w:cs="Arial"/>
                <w:b/>
                <w:bCs/>
                <w:sz w:val="22"/>
                <w:szCs w:val="22"/>
              </w:rPr>
            </w:pPr>
            <w:r>
              <w:rPr>
                <w:rFonts w:ascii="Arial" w:hAnsi="Arial" w:cs="Arial"/>
                <w:b/>
                <w:bCs/>
                <w:sz w:val="22"/>
                <w:szCs w:val="22"/>
              </w:rPr>
              <w:t>RM’000</w:t>
            </w:r>
          </w:p>
        </w:tc>
        <w:tc>
          <w:tcPr>
            <w:tcW w:w="236" w:type="dxa"/>
            <w:shd w:val="clear" w:color="auto" w:fill="auto"/>
          </w:tcPr>
          <w:p w:rsidR="00672834" w:rsidRDefault="00672834">
            <w:pPr>
              <w:snapToGrid w:val="0"/>
              <w:jc w:val="center"/>
              <w:rPr>
                <w:rFonts w:ascii="Arial" w:hAnsi="Arial" w:cs="Arial"/>
                <w:b/>
                <w:bCs/>
                <w:sz w:val="22"/>
                <w:szCs w:val="22"/>
              </w:rPr>
            </w:pPr>
          </w:p>
        </w:tc>
        <w:tc>
          <w:tcPr>
            <w:tcW w:w="1621" w:type="dxa"/>
            <w:shd w:val="clear" w:color="auto" w:fill="auto"/>
          </w:tcPr>
          <w:p w:rsidR="00672834" w:rsidRDefault="00672834">
            <w:pPr>
              <w:snapToGrid w:val="0"/>
              <w:jc w:val="center"/>
              <w:rPr>
                <w:rFonts w:ascii="Arial" w:hAnsi="Arial" w:cs="Arial"/>
                <w:sz w:val="22"/>
                <w:szCs w:val="22"/>
                <w:shd w:val="clear" w:color="auto" w:fill="FFFF00"/>
              </w:rPr>
            </w:pPr>
            <w:r>
              <w:rPr>
                <w:rFonts w:ascii="Arial" w:hAnsi="Arial" w:cs="Arial"/>
                <w:b/>
                <w:bCs/>
                <w:sz w:val="22"/>
                <w:szCs w:val="22"/>
              </w:rPr>
              <w:t>RM’000</w:t>
            </w:r>
          </w:p>
        </w:tc>
      </w:tr>
      <w:tr w:rsidR="00672834">
        <w:tc>
          <w:tcPr>
            <w:tcW w:w="4301" w:type="dxa"/>
            <w:shd w:val="clear" w:color="auto" w:fill="auto"/>
          </w:tcPr>
          <w:p w:rsidR="00672834" w:rsidRDefault="00672834">
            <w:pPr>
              <w:autoSpaceDE w:val="0"/>
              <w:snapToGrid w:val="0"/>
              <w:rPr>
                <w:rFonts w:ascii="Arial" w:hAnsi="Arial" w:cs="Arial"/>
                <w:sz w:val="22"/>
                <w:szCs w:val="22"/>
                <w:shd w:val="clear" w:color="auto" w:fill="FFFF00"/>
              </w:rPr>
            </w:pPr>
          </w:p>
        </w:tc>
        <w:tc>
          <w:tcPr>
            <w:tcW w:w="1608" w:type="dxa"/>
            <w:shd w:val="clear" w:color="auto" w:fill="auto"/>
          </w:tcPr>
          <w:p w:rsidR="00672834" w:rsidRDefault="00672834">
            <w:pPr>
              <w:snapToGrid w:val="0"/>
              <w:ind w:right="-72"/>
              <w:jc w:val="right"/>
              <w:rPr>
                <w:rFonts w:ascii="Arial" w:hAnsi="Arial" w:cs="Arial"/>
                <w:sz w:val="22"/>
                <w:szCs w:val="22"/>
              </w:rPr>
            </w:pPr>
          </w:p>
        </w:tc>
        <w:tc>
          <w:tcPr>
            <w:tcW w:w="236" w:type="dxa"/>
            <w:shd w:val="clear" w:color="auto" w:fill="auto"/>
          </w:tcPr>
          <w:p w:rsidR="00672834" w:rsidRDefault="00672834">
            <w:pPr>
              <w:snapToGrid w:val="0"/>
              <w:ind w:right="-72"/>
              <w:jc w:val="right"/>
              <w:rPr>
                <w:rFonts w:ascii="Arial" w:hAnsi="Arial" w:cs="Arial"/>
                <w:sz w:val="22"/>
                <w:szCs w:val="22"/>
              </w:rPr>
            </w:pPr>
          </w:p>
        </w:tc>
        <w:tc>
          <w:tcPr>
            <w:tcW w:w="1621" w:type="dxa"/>
            <w:shd w:val="clear" w:color="auto" w:fill="auto"/>
          </w:tcPr>
          <w:p w:rsidR="00672834" w:rsidRDefault="00672834">
            <w:pPr>
              <w:snapToGrid w:val="0"/>
              <w:ind w:right="-72"/>
              <w:jc w:val="right"/>
              <w:rPr>
                <w:rFonts w:ascii="Arial" w:hAnsi="Arial" w:cs="Arial"/>
                <w:sz w:val="22"/>
                <w:szCs w:val="22"/>
              </w:rPr>
            </w:pPr>
          </w:p>
        </w:tc>
      </w:tr>
      <w:tr w:rsidR="00672834">
        <w:tc>
          <w:tcPr>
            <w:tcW w:w="4301" w:type="dxa"/>
            <w:shd w:val="clear" w:color="auto" w:fill="auto"/>
          </w:tcPr>
          <w:p w:rsidR="00672834" w:rsidRDefault="00672834">
            <w:pPr>
              <w:autoSpaceDE w:val="0"/>
              <w:snapToGrid w:val="0"/>
              <w:ind w:right="-108"/>
              <w:rPr>
                <w:rFonts w:ascii="Arial" w:hAnsi="Arial" w:cs="Arial"/>
                <w:sz w:val="22"/>
                <w:szCs w:val="22"/>
              </w:rPr>
            </w:pPr>
            <w:r>
              <w:rPr>
                <w:rFonts w:ascii="Arial" w:hAnsi="Arial" w:cs="Arial"/>
                <w:sz w:val="22"/>
                <w:szCs w:val="22"/>
                <w:lang w:val="en-MY"/>
              </w:rPr>
              <w:t>Other income including investment income</w:t>
            </w:r>
          </w:p>
        </w:tc>
        <w:tc>
          <w:tcPr>
            <w:tcW w:w="1608" w:type="dxa"/>
            <w:shd w:val="clear" w:color="auto" w:fill="auto"/>
          </w:tcPr>
          <w:p w:rsidR="00672834" w:rsidRDefault="00A03CF5">
            <w:pPr>
              <w:snapToGrid w:val="0"/>
              <w:ind w:right="162"/>
              <w:jc w:val="right"/>
              <w:rPr>
                <w:rFonts w:ascii="Arial" w:hAnsi="Arial" w:cs="Arial"/>
                <w:sz w:val="22"/>
                <w:szCs w:val="22"/>
              </w:rPr>
            </w:pPr>
            <w:r>
              <w:rPr>
                <w:rFonts w:ascii="Arial" w:hAnsi="Arial" w:cs="Arial"/>
                <w:sz w:val="22"/>
                <w:szCs w:val="22"/>
              </w:rPr>
              <w:t>(55</w:t>
            </w:r>
            <w:r w:rsidR="00672834">
              <w:rPr>
                <w:rFonts w:ascii="Arial" w:hAnsi="Arial" w:cs="Arial"/>
                <w:sz w:val="22"/>
                <w:szCs w:val="22"/>
              </w:rPr>
              <w:t>)</w:t>
            </w:r>
          </w:p>
        </w:tc>
        <w:tc>
          <w:tcPr>
            <w:tcW w:w="236" w:type="dxa"/>
            <w:shd w:val="clear" w:color="auto" w:fill="auto"/>
          </w:tcPr>
          <w:p w:rsidR="00672834" w:rsidRDefault="00672834">
            <w:pPr>
              <w:snapToGrid w:val="0"/>
              <w:ind w:right="162"/>
              <w:jc w:val="right"/>
              <w:rPr>
                <w:rFonts w:ascii="Arial" w:hAnsi="Arial" w:cs="Arial"/>
                <w:sz w:val="22"/>
                <w:szCs w:val="22"/>
              </w:rPr>
            </w:pPr>
          </w:p>
        </w:tc>
        <w:tc>
          <w:tcPr>
            <w:tcW w:w="1621" w:type="dxa"/>
            <w:shd w:val="clear" w:color="auto" w:fill="auto"/>
          </w:tcPr>
          <w:p w:rsidR="00672834" w:rsidRDefault="00672834">
            <w:pPr>
              <w:snapToGrid w:val="0"/>
              <w:ind w:right="162"/>
              <w:jc w:val="right"/>
              <w:rPr>
                <w:rFonts w:ascii="Arial" w:hAnsi="Arial" w:cs="Arial"/>
                <w:sz w:val="22"/>
                <w:szCs w:val="22"/>
                <w:lang w:val="en-MY"/>
              </w:rPr>
            </w:pPr>
            <w:r>
              <w:rPr>
                <w:rFonts w:ascii="Arial" w:hAnsi="Arial" w:cs="Arial"/>
                <w:sz w:val="22"/>
                <w:szCs w:val="22"/>
              </w:rPr>
              <w:t>(47)</w:t>
            </w:r>
          </w:p>
        </w:tc>
      </w:tr>
      <w:tr w:rsidR="00672834">
        <w:tc>
          <w:tcPr>
            <w:tcW w:w="4301" w:type="dxa"/>
            <w:shd w:val="clear" w:color="auto" w:fill="auto"/>
          </w:tcPr>
          <w:p w:rsidR="00672834" w:rsidRDefault="00672834">
            <w:pPr>
              <w:autoSpaceDE w:val="0"/>
              <w:snapToGrid w:val="0"/>
              <w:rPr>
                <w:rFonts w:ascii="Arial" w:hAnsi="Arial" w:cs="Arial"/>
                <w:sz w:val="22"/>
                <w:szCs w:val="22"/>
              </w:rPr>
            </w:pPr>
            <w:r>
              <w:rPr>
                <w:rFonts w:ascii="Arial" w:hAnsi="Arial" w:cs="Arial"/>
                <w:sz w:val="22"/>
                <w:szCs w:val="22"/>
                <w:lang w:val="en-MY"/>
              </w:rPr>
              <w:t>Interest expense</w:t>
            </w:r>
          </w:p>
        </w:tc>
        <w:tc>
          <w:tcPr>
            <w:tcW w:w="1608" w:type="dxa"/>
            <w:shd w:val="clear" w:color="auto" w:fill="auto"/>
          </w:tcPr>
          <w:p w:rsidR="00672834" w:rsidRDefault="00672834">
            <w:pPr>
              <w:snapToGrid w:val="0"/>
              <w:ind w:right="162"/>
              <w:jc w:val="right"/>
              <w:rPr>
                <w:rFonts w:ascii="Arial" w:hAnsi="Arial" w:cs="Arial"/>
                <w:sz w:val="22"/>
                <w:szCs w:val="22"/>
              </w:rPr>
            </w:pPr>
            <w:r>
              <w:rPr>
                <w:rFonts w:ascii="Arial" w:hAnsi="Arial" w:cs="Arial"/>
                <w:sz w:val="22"/>
                <w:szCs w:val="22"/>
              </w:rPr>
              <w:t>714</w:t>
            </w:r>
          </w:p>
        </w:tc>
        <w:tc>
          <w:tcPr>
            <w:tcW w:w="236" w:type="dxa"/>
            <w:shd w:val="clear" w:color="auto" w:fill="auto"/>
          </w:tcPr>
          <w:p w:rsidR="00672834" w:rsidRDefault="00672834">
            <w:pPr>
              <w:snapToGrid w:val="0"/>
              <w:ind w:right="162"/>
              <w:jc w:val="right"/>
              <w:rPr>
                <w:rFonts w:ascii="Arial" w:hAnsi="Arial" w:cs="Arial"/>
                <w:sz w:val="22"/>
                <w:szCs w:val="22"/>
              </w:rPr>
            </w:pPr>
          </w:p>
        </w:tc>
        <w:tc>
          <w:tcPr>
            <w:tcW w:w="1621" w:type="dxa"/>
            <w:shd w:val="clear" w:color="auto" w:fill="auto"/>
          </w:tcPr>
          <w:p w:rsidR="00672834" w:rsidRDefault="00672834">
            <w:pPr>
              <w:snapToGrid w:val="0"/>
              <w:ind w:right="162"/>
              <w:jc w:val="right"/>
            </w:pPr>
            <w:r>
              <w:rPr>
                <w:rFonts w:ascii="Arial" w:hAnsi="Arial" w:cs="Arial"/>
                <w:sz w:val="22"/>
                <w:szCs w:val="22"/>
              </w:rPr>
              <w:t>681</w:t>
            </w:r>
          </w:p>
        </w:tc>
      </w:tr>
    </w:tbl>
    <w:p w:rsidR="00672834" w:rsidRDefault="00672834">
      <w:pPr>
        <w:pStyle w:val="BodyText"/>
      </w:pPr>
    </w:p>
    <w:p w:rsidR="00672834" w:rsidRDefault="00672834">
      <w:pPr>
        <w:ind w:left="360"/>
        <w:jc w:val="both"/>
        <w:rPr>
          <w:rFonts w:ascii="Arial" w:hAnsi="Arial" w:cs="Arial"/>
          <w:b/>
          <w:sz w:val="22"/>
          <w:szCs w:val="22"/>
          <w:lang w:val="en-GB"/>
        </w:rPr>
      </w:pPr>
    </w:p>
    <w:p w:rsidR="00672834" w:rsidRDefault="00672834">
      <w:pPr>
        <w:ind w:left="360"/>
        <w:jc w:val="both"/>
        <w:rPr>
          <w:rFonts w:ascii="Arial" w:hAnsi="Arial" w:cs="Arial"/>
          <w:b/>
          <w:sz w:val="22"/>
          <w:szCs w:val="22"/>
          <w:lang w:val="en-GB"/>
        </w:rPr>
      </w:pPr>
    </w:p>
    <w:p w:rsidR="00672834" w:rsidRDefault="00672834">
      <w:pPr>
        <w:ind w:left="360"/>
        <w:jc w:val="both"/>
        <w:rPr>
          <w:rFonts w:ascii="Arial" w:hAnsi="Arial" w:cs="Arial"/>
          <w:b/>
          <w:sz w:val="22"/>
          <w:szCs w:val="22"/>
          <w:lang w:val="en-GB"/>
        </w:rPr>
      </w:pPr>
    </w:p>
    <w:p w:rsidR="00672834" w:rsidRDefault="00672834">
      <w:pPr>
        <w:jc w:val="both"/>
      </w:pPr>
    </w:p>
    <w:p w:rsidR="00672834" w:rsidRDefault="00672834">
      <w:pPr>
        <w:pStyle w:val="Heading2"/>
        <w:tabs>
          <w:tab w:val="left" w:pos="0"/>
        </w:tabs>
      </w:pPr>
    </w:p>
    <w:p w:rsidR="00672834" w:rsidRDefault="00672834">
      <w:pPr>
        <w:pStyle w:val="Heading2"/>
        <w:tabs>
          <w:tab w:val="left" w:pos="576"/>
        </w:tabs>
        <w:ind w:left="576"/>
        <w:rPr>
          <w:sz w:val="22"/>
          <w:lang w:val="en-GB"/>
        </w:rPr>
      </w:pPr>
      <w:r>
        <w:rPr>
          <w:i w:val="0"/>
          <w:sz w:val="22"/>
          <w:lang w:val="en-GB"/>
        </w:rPr>
        <w:t xml:space="preserve">  Earning/(Loss) Per Share (“EPS/(L)”)</w:t>
      </w:r>
    </w:p>
    <w:p w:rsidR="00672834" w:rsidRDefault="00672834">
      <w:pPr>
        <w:ind w:left="720"/>
        <w:jc w:val="both"/>
        <w:rPr>
          <w:rFonts w:ascii="Arial" w:hAnsi="Arial" w:cs="Arial"/>
          <w:sz w:val="22"/>
          <w:lang w:val="en-GB"/>
        </w:rPr>
      </w:pPr>
    </w:p>
    <w:p w:rsidR="00672834" w:rsidRDefault="00672834">
      <w:pPr>
        <w:ind w:left="735"/>
        <w:jc w:val="both"/>
        <w:rPr>
          <w:rFonts w:ascii="Arial" w:hAnsi="Arial" w:cs="Arial"/>
          <w:sz w:val="22"/>
          <w:szCs w:val="22"/>
        </w:rPr>
      </w:pPr>
      <w:r>
        <w:rPr>
          <w:rFonts w:ascii="Arial" w:hAnsi="Arial" w:cs="Arial"/>
          <w:sz w:val="22"/>
          <w:lang w:val="en-GB"/>
        </w:rPr>
        <w:t>The</w:t>
      </w:r>
      <w:r>
        <w:rPr>
          <w:rFonts w:ascii="Arial" w:hAnsi="Arial" w:cs="Arial"/>
          <w:sz w:val="22"/>
        </w:rPr>
        <w:t xml:space="preserve"> earning/(loss) per share is calculated by dividing the Group’s (loss)/profit after income tax by:-</w:t>
      </w:r>
    </w:p>
    <w:p w:rsidR="00672834" w:rsidRDefault="00672834">
      <w:pPr>
        <w:jc w:val="both"/>
        <w:rPr>
          <w:rFonts w:ascii="Arial" w:hAnsi="Arial" w:cs="Arial"/>
          <w:sz w:val="22"/>
          <w:szCs w:val="22"/>
        </w:rPr>
      </w:pPr>
    </w:p>
    <w:tbl>
      <w:tblPr>
        <w:tblW w:w="0" w:type="auto"/>
        <w:tblInd w:w="738" w:type="dxa"/>
        <w:tblLayout w:type="fixed"/>
        <w:tblLook w:val="0000"/>
      </w:tblPr>
      <w:tblGrid>
        <w:gridCol w:w="2384"/>
        <w:gridCol w:w="1533"/>
        <w:gridCol w:w="1416"/>
        <w:gridCol w:w="236"/>
        <w:gridCol w:w="1457"/>
        <w:gridCol w:w="1598"/>
      </w:tblGrid>
      <w:tr w:rsidR="00672834">
        <w:tc>
          <w:tcPr>
            <w:tcW w:w="2384" w:type="dxa"/>
            <w:tcBorders>
              <w:top w:val="single" w:sz="4" w:space="0" w:color="000000"/>
              <w:left w:val="single" w:sz="4" w:space="0" w:color="000000"/>
            </w:tcBorders>
            <w:shd w:val="clear" w:color="auto" w:fill="auto"/>
          </w:tcPr>
          <w:p w:rsidR="00672834" w:rsidRDefault="00672834">
            <w:pPr>
              <w:pStyle w:val="DefaultText"/>
              <w:snapToGrid w:val="0"/>
              <w:rPr>
                <w:rFonts w:ascii="Arial" w:hAnsi="Arial" w:cs="Arial"/>
                <w:sz w:val="22"/>
                <w:szCs w:val="22"/>
                <w:lang w:val="en-GB"/>
              </w:rPr>
            </w:pPr>
          </w:p>
        </w:tc>
        <w:tc>
          <w:tcPr>
            <w:tcW w:w="1533" w:type="dxa"/>
            <w:tcBorders>
              <w:top w:val="single" w:sz="4" w:space="0" w:color="000000"/>
              <w:left w:val="single" w:sz="4" w:space="0" w:color="000000"/>
              <w:bottom w:val="single" w:sz="4" w:space="0" w:color="000000"/>
            </w:tcBorders>
            <w:shd w:val="clear" w:color="auto" w:fill="auto"/>
          </w:tcPr>
          <w:p w:rsidR="00672834" w:rsidRDefault="00672834">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Current Period</w:t>
            </w:r>
          </w:p>
          <w:p w:rsidR="00672834" w:rsidRDefault="00672834">
            <w:pPr>
              <w:pStyle w:val="DefaultText"/>
              <w:ind w:left="-180" w:right="-36"/>
              <w:jc w:val="center"/>
              <w:rPr>
                <w:rFonts w:ascii="Arial" w:hAnsi="Arial" w:cs="Arial"/>
                <w:b/>
                <w:sz w:val="22"/>
                <w:szCs w:val="22"/>
                <w:lang w:val="en-GB"/>
              </w:rPr>
            </w:pPr>
            <w:r>
              <w:rPr>
                <w:rFonts w:ascii="Arial" w:hAnsi="Arial" w:cs="Arial"/>
                <w:b/>
                <w:sz w:val="22"/>
                <w:szCs w:val="22"/>
                <w:lang w:val="en-GB"/>
              </w:rPr>
              <w:t>Quarter</w:t>
            </w:r>
          </w:p>
          <w:p w:rsidR="00672834" w:rsidRDefault="00672834">
            <w:pPr>
              <w:pStyle w:val="DefaultText"/>
              <w:ind w:left="-180" w:right="-36"/>
              <w:jc w:val="center"/>
              <w:rPr>
                <w:rFonts w:ascii="Arial" w:hAnsi="Arial" w:cs="Arial"/>
                <w:b/>
                <w:sz w:val="22"/>
                <w:szCs w:val="22"/>
                <w:lang w:val="en-GB"/>
              </w:rPr>
            </w:pPr>
          </w:p>
        </w:tc>
        <w:tc>
          <w:tcPr>
            <w:tcW w:w="1416" w:type="dxa"/>
            <w:tcBorders>
              <w:top w:val="single" w:sz="4" w:space="0" w:color="000000"/>
              <w:left w:val="single" w:sz="4" w:space="0" w:color="000000"/>
              <w:bottom w:val="single" w:sz="4" w:space="0" w:color="000000"/>
            </w:tcBorders>
            <w:shd w:val="clear" w:color="auto" w:fill="auto"/>
          </w:tcPr>
          <w:p w:rsidR="00672834" w:rsidRDefault="00672834">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Previous Period</w:t>
            </w:r>
          </w:p>
          <w:p w:rsidR="00672834" w:rsidRDefault="00672834">
            <w:pPr>
              <w:pStyle w:val="DefaultText"/>
              <w:ind w:left="-180" w:right="-36"/>
              <w:jc w:val="center"/>
              <w:rPr>
                <w:rFonts w:ascii="Arial" w:hAnsi="Arial" w:cs="Arial"/>
                <w:b/>
                <w:sz w:val="22"/>
                <w:szCs w:val="22"/>
                <w:lang w:val="en-GB"/>
              </w:rPr>
            </w:pPr>
            <w:r>
              <w:rPr>
                <w:rFonts w:ascii="Arial" w:hAnsi="Arial" w:cs="Arial"/>
                <w:b/>
                <w:sz w:val="22"/>
                <w:szCs w:val="22"/>
                <w:lang w:val="en-GB"/>
              </w:rPr>
              <w:t>Quarter</w:t>
            </w:r>
          </w:p>
        </w:tc>
        <w:tc>
          <w:tcPr>
            <w:tcW w:w="94" w:type="dxa"/>
            <w:tcBorders>
              <w:left w:val="single" w:sz="4" w:space="0" w:color="000000"/>
            </w:tcBorders>
            <w:shd w:val="clear" w:color="auto" w:fill="auto"/>
          </w:tcPr>
          <w:p w:rsidR="00672834" w:rsidRDefault="00672834">
            <w:pPr>
              <w:pStyle w:val="DefaultText"/>
              <w:snapToGrid w:val="0"/>
              <w:ind w:left="-180" w:right="-36"/>
              <w:jc w:val="center"/>
              <w:rPr>
                <w:rFonts w:ascii="Arial" w:hAnsi="Arial" w:cs="Arial"/>
                <w:b/>
                <w:sz w:val="22"/>
                <w:szCs w:val="22"/>
                <w:lang w:val="en-GB"/>
              </w:rPr>
            </w:pPr>
          </w:p>
        </w:tc>
        <w:tc>
          <w:tcPr>
            <w:tcW w:w="1457" w:type="dxa"/>
            <w:tcBorders>
              <w:top w:val="single" w:sz="4" w:space="0" w:color="000000"/>
              <w:left w:val="single" w:sz="4" w:space="0" w:color="000000"/>
              <w:bottom w:val="single" w:sz="4" w:space="0" w:color="000000"/>
            </w:tcBorders>
            <w:shd w:val="clear" w:color="auto" w:fill="auto"/>
          </w:tcPr>
          <w:p w:rsidR="00672834" w:rsidRDefault="00672834">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 xml:space="preserve"> </w:t>
            </w:r>
          </w:p>
          <w:p w:rsidR="00672834" w:rsidRDefault="00CF52CD" w:rsidP="00CF52CD">
            <w:pPr>
              <w:pStyle w:val="DefaultText"/>
              <w:snapToGrid w:val="0"/>
              <w:ind w:left="-176" w:right="-176"/>
              <w:jc w:val="center"/>
              <w:rPr>
                <w:rFonts w:ascii="Arial" w:hAnsi="Arial" w:cs="Arial"/>
                <w:b/>
                <w:sz w:val="22"/>
                <w:szCs w:val="22"/>
                <w:lang w:val="en-GB"/>
              </w:rPr>
            </w:pPr>
            <w:r>
              <w:rPr>
                <w:rFonts w:ascii="Arial" w:hAnsi="Arial" w:cs="Arial"/>
                <w:b/>
                <w:sz w:val="22"/>
                <w:szCs w:val="22"/>
                <w:lang w:val="en-GB"/>
              </w:rPr>
              <w:t>Current period</w:t>
            </w:r>
          </w:p>
          <w:p w:rsidR="00672834" w:rsidRDefault="00672834" w:rsidP="00CF52CD">
            <w:pPr>
              <w:pStyle w:val="DefaultText"/>
              <w:ind w:left="-180" w:right="-36"/>
              <w:jc w:val="center"/>
              <w:rPr>
                <w:rFonts w:ascii="Arial" w:hAnsi="Arial" w:cs="Arial"/>
                <w:b/>
                <w:sz w:val="22"/>
                <w:szCs w:val="22"/>
                <w:lang w:val="en-GB"/>
              </w:rPr>
            </w:pPr>
            <w:r>
              <w:rPr>
                <w:rFonts w:ascii="Arial" w:hAnsi="Arial" w:cs="Arial"/>
                <w:b/>
                <w:sz w:val="22"/>
                <w:szCs w:val="22"/>
                <w:lang w:val="en-GB"/>
              </w:rPr>
              <w:t>To-Date</w:t>
            </w:r>
          </w:p>
          <w:p w:rsidR="00672834" w:rsidRDefault="00672834" w:rsidP="00CF52CD">
            <w:pPr>
              <w:pStyle w:val="DefaultText"/>
              <w:ind w:left="-180" w:right="-36"/>
              <w:jc w:val="center"/>
              <w:rPr>
                <w:rFonts w:ascii="Arial" w:hAnsi="Arial" w:cs="Arial"/>
                <w:b/>
                <w:sz w:val="22"/>
                <w:szCs w:val="22"/>
                <w:lang w:val="en-GB"/>
              </w:rPr>
            </w:pPr>
            <w:r>
              <w:rPr>
                <w:rFonts w:ascii="Arial" w:hAnsi="Arial" w:cs="Arial"/>
                <w:b/>
                <w:sz w:val="22"/>
                <w:szCs w:val="22"/>
                <w:lang w:val="en-GB"/>
              </w:rPr>
              <w:t>(3 months)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672834" w:rsidRDefault="00672834">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 xml:space="preserve">Previous Period </w:t>
            </w:r>
          </w:p>
          <w:p w:rsidR="00672834" w:rsidRDefault="00672834">
            <w:pPr>
              <w:pStyle w:val="DefaultText"/>
              <w:ind w:left="-180" w:right="-36"/>
              <w:jc w:val="center"/>
              <w:rPr>
                <w:rFonts w:ascii="Arial" w:hAnsi="Arial" w:cs="Arial"/>
                <w:b/>
                <w:sz w:val="22"/>
                <w:szCs w:val="22"/>
                <w:lang w:val="en-GB"/>
              </w:rPr>
            </w:pPr>
            <w:r>
              <w:rPr>
                <w:rFonts w:ascii="Arial" w:hAnsi="Arial" w:cs="Arial"/>
                <w:b/>
                <w:sz w:val="22"/>
                <w:szCs w:val="22"/>
                <w:lang w:val="en-GB"/>
              </w:rPr>
              <w:t>To-Date</w:t>
            </w:r>
          </w:p>
          <w:p w:rsidR="00672834" w:rsidRDefault="00672834">
            <w:pPr>
              <w:pStyle w:val="DefaultText"/>
              <w:ind w:left="-180" w:right="-36"/>
              <w:jc w:val="center"/>
              <w:rPr>
                <w:rFonts w:ascii="Arial" w:hAnsi="Arial" w:cs="Arial"/>
                <w:b/>
                <w:sz w:val="20"/>
                <w:szCs w:val="22"/>
                <w:lang w:val="en-GB"/>
              </w:rPr>
            </w:pPr>
            <w:r>
              <w:rPr>
                <w:rFonts w:ascii="Arial" w:hAnsi="Arial" w:cs="Arial"/>
                <w:b/>
                <w:sz w:val="22"/>
                <w:szCs w:val="22"/>
                <w:lang w:val="en-GB"/>
              </w:rPr>
              <w:t>(3 months)</w:t>
            </w:r>
          </w:p>
        </w:tc>
      </w:tr>
      <w:tr w:rsidR="00672834">
        <w:trPr>
          <w:trHeight w:val="341"/>
        </w:trPr>
        <w:tc>
          <w:tcPr>
            <w:tcW w:w="2384" w:type="dxa"/>
            <w:tcBorders>
              <w:left w:val="single" w:sz="4" w:space="0" w:color="000000"/>
            </w:tcBorders>
            <w:shd w:val="clear" w:color="auto" w:fill="auto"/>
          </w:tcPr>
          <w:p w:rsidR="00672834" w:rsidRDefault="00672834">
            <w:pPr>
              <w:pStyle w:val="DefaultText"/>
              <w:snapToGrid w:val="0"/>
              <w:rPr>
                <w:rFonts w:ascii="Arial" w:hAnsi="Arial" w:cs="Arial"/>
                <w:b/>
                <w:sz w:val="20"/>
                <w:szCs w:val="22"/>
                <w:lang w:val="en-GB"/>
              </w:rPr>
            </w:pPr>
          </w:p>
        </w:tc>
        <w:tc>
          <w:tcPr>
            <w:tcW w:w="1533" w:type="dxa"/>
            <w:tcBorders>
              <w:left w:val="single" w:sz="4" w:space="0" w:color="000000"/>
              <w:bottom w:val="single" w:sz="4" w:space="0" w:color="000000"/>
            </w:tcBorders>
            <w:shd w:val="clear" w:color="auto" w:fill="auto"/>
          </w:tcPr>
          <w:p w:rsidR="00672834" w:rsidRDefault="00CF52CD">
            <w:pPr>
              <w:snapToGrid w:val="0"/>
              <w:ind w:left="-187" w:right="-216"/>
              <w:jc w:val="center"/>
              <w:rPr>
                <w:rFonts w:ascii="Arial" w:hAnsi="Arial" w:cs="Arial"/>
                <w:b/>
                <w:sz w:val="22"/>
                <w:szCs w:val="22"/>
                <w:lang w:val="en-GB"/>
              </w:rPr>
            </w:pPr>
            <w:r>
              <w:rPr>
                <w:rFonts w:ascii="Arial" w:hAnsi="Arial" w:cs="Arial"/>
                <w:b/>
                <w:sz w:val="22"/>
                <w:szCs w:val="22"/>
                <w:lang w:val="en-GB"/>
              </w:rPr>
              <w:t>31 Mar</w:t>
            </w:r>
            <w:r w:rsidR="00672834">
              <w:rPr>
                <w:rFonts w:ascii="Arial" w:hAnsi="Arial" w:cs="Arial"/>
                <w:b/>
                <w:sz w:val="22"/>
                <w:szCs w:val="22"/>
                <w:lang w:val="en-GB"/>
              </w:rPr>
              <w:t xml:space="preserve"> 2014</w:t>
            </w:r>
          </w:p>
        </w:tc>
        <w:tc>
          <w:tcPr>
            <w:tcW w:w="1416" w:type="dxa"/>
            <w:tcBorders>
              <w:left w:val="single" w:sz="4" w:space="0" w:color="000000"/>
              <w:bottom w:val="single" w:sz="4" w:space="0" w:color="000000"/>
            </w:tcBorders>
            <w:shd w:val="clear" w:color="auto" w:fill="auto"/>
          </w:tcPr>
          <w:p w:rsidR="00672834" w:rsidRDefault="00CF52CD">
            <w:pPr>
              <w:snapToGrid w:val="0"/>
              <w:ind w:left="-187" w:right="-216"/>
              <w:jc w:val="center"/>
              <w:rPr>
                <w:rFonts w:ascii="Arial" w:hAnsi="Arial" w:cs="Arial"/>
                <w:b/>
                <w:sz w:val="20"/>
                <w:lang w:val="en-GB"/>
              </w:rPr>
            </w:pPr>
            <w:r>
              <w:rPr>
                <w:rFonts w:ascii="Arial" w:hAnsi="Arial" w:cs="Arial"/>
                <w:b/>
                <w:sz w:val="22"/>
                <w:szCs w:val="22"/>
                <w:lang w:val="en-GB"/>
              </w:rPr>
              <w:t>31 Mar</w:t>
            </w:r>
            <w:r w:rsidR="00672834">
              <w:rPr>
                <w:rFonts w:ascii="Arial" w:hAnsi="Arial" w:cs="Arial"/>
                <w:b/>
                <w:sz w:val="22"/>
                <w:szCs w:val="22"/>
                <w:lang w:val="en-GB"/>
              </w:rPr>
              <w:t xml:space="preserve"> 2013</w:t>
            </w:r>
          </w:p>
        </w:tc>
        <w:tc>
          <w:tcPr>
            <w:tcW w:w="94" w:type="dxa"/>
            <w:tcBorders>
              <w:left w:val="single" w:sz="4" w:space="0" w:color="000000"/>
            </w:tcBorders>
            <w:shd w:val="clear" w:color="auto" w:fill="auto"/>
          </w:tcPr>
          <w:p w:rsidR="00672834" w:rsidRDefault="00672834">
            <w:pPr>
              <w:pStyle w:val="DefaultText"/>
              <w:snapToGrid w:val="0"/>
              <w:ind w:left="-187" w:right="-216"/>
              <w:jc w:val="center"/>
              <w:rPr>
                <w:rFonts w:ascii="Arial" w:hAnsi="Arial" w:cs="Arial"/>
                <w:b/>
                <w:sz w:val="20"/>
                <w:lang w:val="en-GB"/>
              </w:rPr>
            </w:pPr>
          </w:p>
        </w:tc>
        <w:tc>
          <w:tcPr>
            <w:tcW w:w="1457" w:type="dxa"/>
            <w:tcBorders>
              <w:left w:val="single" w:sz="4" w:space="0" w:color="000000"/>
              <w:bottom w:val="single" w:sz="4" w:space="0" w:color="000000"/>
            </w:tcBorders>
            <w:shd w:val="clear" w:color="auto" w:fill="auto"/>
          </w:tcPr>
          <w:p w:rsidR="00672834" w:rsidRDefault="00CF52CD">
            <w:pPr>
              <w:snapToGrid w:val="0"/>
              <w:ind w:left="-187" w:right="-216"/>
              <w:jc w:val="center"/>
              <w:rPr>
                <w:rFonts w:ascii="Arial" w:eastAsia="Times New Roman" w:hAnsi="Arial" w:cs="Arial"/>
                <w:b/>
                <w:sz w:val="22"/>
                <w:szCs w:val="22"/>
                <w:lang w:val="en-GB"/>
              </w:rPr>
            </w:pPr>
            <w:r>
              <w:rPr>
                <w:rFonts w:ascii="Arial" w:hAnsi="Arial" w:cs="Arial"/>
                <w:b/>
                <w:sz w:val="22"/>
                <w:szCs w:val="22"/>
                <w:lang w:val="en-GB"/>
              </w:rPr>
              <w:t>31 Mar</w:t>
            </w:r>
            <w:r w:rsidR="00672834">
              <w:rPr>
                <w:rFonts w:ascii="Arial" w:hAnsi="Arial" w:cs="Arial"/>
                <w:b/>
                <w:sz w:val="22"/>
                <w:szCs w:val="22"/>
                <w:lang w:val="en-GB"/>
              </w:rPr>
              <w:t xml:space="preserve"> 2014</w:t>
            </w:r>
          </w:p>
        </w:tc>
        <w:tc>
          <w:tcPr>
            <w:tcW w:w="1598" w:type="dxa"/>
            <w:tcBorders>
              <w:left w:val="single" w:sz="4" w:space="0" w:color="000000"/>
              <w:bottom w:val="single" w:sz="4" w:space="0" w:color="000000"/>
              <w:right w:val="single" w:sz="4" w:space="0" w:color="000000"/>
            </w:tcBorders>
            <w:shd w:val="clear" w:color="auto" w:fill="auto"/>
          </w:tcPr>
          <w:p w:rsidR="00672834" w:rsidRDefault="00CF52CD">
            <w:pPr>
              <w:snapToGrid w:val="0"/>
              <w:ind w:left="-187" w:right="-216"/>
              <w:jc w:val="center"/>
              <w:rPr>
                <w:rFonts w:ascii="Arial" w:eastAsia="Times New Roman" w:hAnsi="Arial" w:cs="Arial"/>
                <w:sz w:val="20"/>
                <w:szCs w:val="20"/>
                <w:lang w:val="en-GB"/>
              </w:rPr>
            </w:pPr>
            <w:r>
              <w:rPr>
                <w:rFonts w:ascii="Arial" w:eastAsia="Times New Roman" w:hAnsi="Arial" w:cs="Arial"/>
                <w:b/>
                <w:sz w:val="22"/>
                <w:szCs w:val="22"/>
                <w:lang w:val="en-GB"/>
              </w:rPr>
              <w:t>31 Mar</w:t>
            </w:r>
            <w:r w:rsidR="00672834">
              <w:rPr>
                <w:rFonts w:ascii="Arial" w:eastAsia="Times New Roman" w:hAnsi="Arial" w:cs="Arial"/>
                <w:b/>
                <w:sz w:val="22"/>
                <w:szCs w:val="22"/>
                <w:lang w:val="en-GB"/>
              </w:rPr>
              <w:t xml:space="preserve"> 2013</w:t>
            </w:r>
          </w:p>
        </w:tc>
      </w:tr>
      <w:tr w:rsidR="00672834">
        <w:trPr>
          <w:trHeight w:val="80"/>
        </w:trPr>
        <w:tc>
          <w:tcPr>
            <w:tcW w:w="2384" w:type="dxa"/>
            <w:tcBorders>
              <w:left w:val="single" w:sz="4" w:space="0" w:color="000000"/>
            </w:tcBorders>
            <w:shd w:val="clear" w:color="auto" w:fill="auto"/>
          </w:tcPr>
          <w:p w:rsidR="00672834" w:rsidRDefault="00672834">
            <w:pPr>
              <w:pStyle w:val="DefaultText"/>
              <w:snapToGrid w:val="0"/>
              <w:rPr>
                <w:rFonts w:ascii="Arial" w:hAnsi="Arial" w:cs="Arial"/>
                <w:sz w:val="20"/>
                <w:lang w:val="en-GB"/>
              </w:rPr>
            </w:pPr>
          </w:p>
        </w:tc>
        <w:tc>
          <w:tcPr>
            <w:tcW w:w="1533"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16"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94"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57"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598" w:type="dxa"/>
            <w:tcBorders>
              <w:left w:val="single" w:sz="4" w:space="0" w:color="000000"/>
              <w:righ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r>
      <w:tr w:rsidR="00672834">
        <w:tc>
          <w:tcPr>
            <w:tcW w:w="2384" w:type="dxa"/>
            <w:tcBorders>
              <w:left w:val="single" w:sz="4" w:space="0" w:color="000000"/>
            </w:tcBorders>
            <w:shd w:val="clear" w:color="auto" w:fill="auto"/>
          </w:tcPr>
          <w:p w:rsidR="00672834" w:rsidRDefault="00672834">
            <w:pPr>
              <w:pStyle w:val="DefaultText"/>
              <w:snapToGrid w:val="0"/>
              <w:rPr>
                <w:rFonts w:ascii="Arial" w:hAnsi="Arial" w:cs="Arial"/>
                <w:sz w:val="20"/>
                <w:lang w:val="en-GB"/>
              </w:rPr>
            </w:pPr>
            <w:r>
              <w:rPr>
                <w:rFonts w:ascii="Arial" w:hAnsi="Arial" w:cs="Arial"/>
                <w:sz w:val="20"/>
                <w:lang w:val="en-GB"/>
              </w:rPr>
              <w:t>Number of shares in issue (‘000)</w:t>
            </w:r>
          </w:p>
        </w:tc>
        <w:tc>
          <w:tcPr>
            <w:tcW w:w="1533"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r>
              <w:rPr>
                <w:rFonts w:ascii="Arial" w:hAnsi="Arial" w:cs="Arial"/>
                <w:sz w:val="20"/>
                <w:lang w:val="en-GB"/>
              </w:rPr>
              <w:t>80,000</w:t>
            </w:r>
          </w:p>
        </w:tc>
        <w:tc>
          <w:tcPr>
            <w:tcW w:w="1416" w:type="dxa"/>
            <w:tcBorders>
              <w:left w:val="single" w:sz="4" w:space="0" w:color="000000"/>
            </w:tcBorders>
            <w:shd w:val="clear" w:color="auto" w:fill="auto"/>
          </w:tcPr>
          <w:p w:rsidR="00672834" w:rsidRDefault="00672834">
            <w:pPr>
              <w:pStyle w:val="DefaultText"/>
              <w:snapToGrid w:val="0"/>
              <w:ind w:right="400"/>
              <w:jc w:val="right"/>
              <w:rPr>
                <w:rFonts w:ascii="Arial" w:hAnsi="Arial" w:cs="Arial"/>
                <w:sz w:val="20"/>
                <w:lang w:val="en-GB"/>
              </w:rPr>
            </w:pPr>
            <w:r>
              <w:rPr>
                <w:rFonts w:ascii="Arial" w:hAnsi="Arial" w:cs="Arial"/>
                <w:sz w:val="20"/>
                <w:lang w:val="en-GB"/>
              </w:rPr>
              <w:t>80,000</w:t>
            </w:r>
          </w:p>
        </w:tc>
        <w:tc>
          <w:tcPr>
            <w:tcW w:w="94"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57"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r>
              <w:rPr>
                <w:rFonts w:ascii="Arial" w:hAnsi="Arial" w:cs="Arial"/>
                <w:sz w:val="20"/>
                <w:lang w:val="en-GB"/>
              </w:rPr>
              <w:t>80,000</w:t>
            </w:r>
          </w:p>
        </w:tc>
        <w:tc>
          <w:tcPr>
            <w:tcW w:w="1598" w:type="dxa"/>
            <w:tcBorders>
              <w:left w:val="single" w:sz="4" w:space="0" w:color="000000"/>
              <w:right w:val="single" w:sz="4" w:space="0" w:color="000000"/>
            </w:tcBorders>
            <w:shd w:val="clear" w:color="auto" w:fill="auto"/>
          </w:tcPr>
          <w:p w:rsidR="00672834" w:rsidRDefault="00672834">
            <w:pPr>
              <w:pStyle w:val="DefaultText"/>
              <w:snapToGrid w:val="0"/>
              <w:jc w:val="right"/>
              <w:rPr>
                <w:rFonts w:ascii="Arial" w:hAnsi="Arial" w:cs="Arial"/>
                <w:sz w:val="20"/>
                <w:lang w:val="en-GB"/>
              </w:rPr>
            </w:pPr>
            <w:r>
              <w:rPr>
                <w:rFonts w:ascii="Arial" w:hAnsi="Arial" w:cs="Arial"/>
                <w:sz w:val="20"/>
                <w:lang w:val="en-GB"/>
              </w:rPr>
              <w:t>80,000</w:t>
            </w:r>
          </w:p>
        </w:tc>
      </w:tr>
      <w:tr w:rsidR="00672834">
        <w:tc>
          <w:tcPr>
            <w:tcW w:w="2384" w:type="dxa"/>
            <w:tcBorders>
              <w:left w:val="single" w:sz="4" w:space="0" w:color="000000"/>
            </w:tcBorders>
            <w:shd w:val="clear" w:color="auto" w:fill="auto"/>
          </w:tcPr>
          <w:p w:rsidR="00672834" w:rsidRDefault="00672834">
            <w:pPr>
              <w:pStyle w:val="DefaultText"/>
              <w:snapToGrid w:val="0"/>
              <w:rPr>
                <w:rFonts w:ascii="Arial" w:hAnsi="Arial" w:cs="Arial"/>
                <w:sz w:val="20"/>
                <w:lang w:val="en-GB"/>
              </w:rPr>
            </w:pPr>
          </w:p>
        </w:tc>
        <w:tc>
          <w:tcPr>
            <w:tcW w:w="1533"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16"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94"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57"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598" w:type="dxa"/>
            <w:tcBorders>
              <w:left w:val="single" w:sz="4" w:space="0" w:color="000000"/>
              <w:right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r>
      <w:tr w:rsidR="00672834">
        <w:tc>
          <w:tcPr>
            <w:tcW w:w="2384" w:type="dxa"/>
            <w:tcBorders>
              <w:left w:val="single" w:sz="4" w:space="0" w:color="000000"/>
            </w:tcBorders>
            <w:shd w:val="clear" w:color="auto" w:fill="auto"/>
          </w:tcPr>
          <w:p w:rsidR="00672834" w:rsidRDefault="00672834">
            <w:pPr>
              <w:pStyle w:val="DefaultText"/>
              <w:snapToGrid w:val="0"/>
              <w:rPr>
                <w:rFonts w:ascii="Arial" w:hAnsi="Arial" w:cs="Arial"/>
                <w:sz w:val="20"/>
                <w:lang w:val="en-GB"/>
              </w:rPr>
            </w:pPr>
            <w:r>
              <w:rPr>
                <w:rFonts w:ascii="Arial" w:hAnsi="Arial" w:cs="Arial"/>
                <w:sz w:val="20"/>
                <w:lang w:val="en-GB"/>
              </w:rPr>
              <w:t>Profit/(Loss) per share (sen)</w:t>
            </w:r>
          </w:p>
        </w:tc>
        <w:tc>
          <w:tcPr>
            <w:tcW w:w="1533"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r>
              <w:rPr>
                <w:rFonts w:ascii="Arial" w:hAnsi="Arial" w:cs="Arial"/>
                <w:sz w:val="20"/>
                <w:lang w:val="en-GB"/>
              </w:rPr>
              <w:t>2.07</w:t>
            </w:r>
          </w:p>
        </w:tc>
        <w:tc>
          <w:tcPr>
            <w:tcW w:w="1416" w:type="dxa"/>
            <w:tcBorders>
              <w:left w:val="single" w:sz="4" w:space="0" w:color="000000"/>
            </w:tcBorders>
            <w:shd w:val="clear" w:color="auto" w:fill="auto"/>
          </w:tcPr>
          <w:p w:rsidR="00672834" w:rsidRDefault="00672834">
            <w:pPr>
              <w:pStyle w:val="DefaultText"/>
              <w:snapToGrid w:val="0"/>
              <w:ind w:right="400"/>
              <w:jc w:val="right"/>
              <w:rPr>
                <w:sz w:val="20"/>
                <w:lang w:val="en-GB"/>
              </w:rPr>
            </w:pPr>
            <w:r>
              <w:rPr>
                <w:rFonts w:ascii="Arial" w:hAnsi="Arial" w:cs="Arial"/>
                <w:sz w:val="20"/>
                <w:lang w:val="en-GB"/>
              </w:rPr>
              <w:t>(0.08)</w:t>
            </w:r>
          </w:p>
        </w:tc>
        <w:tc>
          <w:tcPr>
            <w:tcW w:w="94" w:type="dxa"/>
            <w:tcBorders>
              <w:left w:val="single" w:sz="4" w:space="0" w:color="000000"/>
            </w:tcBorders>
            <w:shd w:val="clear" w:color="auto" w:fill="auto"/>
          </w:tcPr>
          <w:p w:rsidR="00672834" w:rsidRDefault="00672834">
            <w:pPr>
              <w:snapToGrid w:val="0"/>
              <w:jc w:val="right"/>
              <w:rPr>
                <w:sz w:val="20"/>
                <w:szCs w:val="20"/>
                <w:lang w:val="en-GB"/>
              </w:rPr>
            </w:pPr>
          </w:p>
        </w:tc>
        <w:tc>
          <w:tcPr>
            <w:tcW w:w="1457" w:type="dxa"/>
            <w:tcBorders>
              <w:left w:val="single" w:sz="4" w:space="0" w:color="000000"/>
            </w:tcBorders>
            <w:shd w:val="clear" w:color="auto" w:fill="auto"/>
          </w:tcPr>
          <w:p w:rsidR="00672834" w:rsidRDefault="00672834">
            <w:pPr>
              <w:pStyle w:val="DefaultText"/>
              <w:snapToGrid w:val="0"/>
              <w:jc w:val="right"/>
              <w:rPr>
                <w:rFonts w:ascii="Arial" w:hAnsi="Arial" w:cs="Arial"/>
                <w:sz w:val="20"/>
                <w:lang w:val="en-GB"/>
              </w:rPr>
            </w:pPr>
            <w:r>
              <w:rPr>
                <w:rFonts w:ascii="Arial" w:hAnsi="Arial" w:cs="Arial"/>
                <w:sz w:val="20"/>
                <w:lang w:val="en-GB"/>
              </w:rPr>
              <w:t>2.07</w:t>
            </w:r>
          </w:p>
        </w:tc>
        <w:tc>
          <w:tcPr>
            <w:tcW w:w="1598" w:type="dxa"/>
            <w:tcBorders>
              <w:left w:val="single" w:sz="4" w:space="0" w:color="000000"/>
              <w:right w:val="single" w:sz="4" w:space="0" w:color="000000"/>
            </w:tcBorders>
            <w:shd w:val="clear" w:color="auto" w:fill="auto"/>
          </w:tcPr>
          <w:p w:rsidR="00672834" w:rsidRDefault="00672834">
            <w:pPr>
              <w:snapToGrid w:val="0"/>
              <w:jc w:val="right"/>
              <w:rPr>
                <w:rFonts w:ascii="Arial" w:eastAsia="Times New Roman" w:hAnsi="Arial" w:cs="Arial"/>
                <w:sz w:val="20"/>
                <w:szCs w:val="20"/>
                <w:lang w:val="en-GB"/>
              </w:rPr>
            </w:pPr>
            <w:r>
              <w:rPr>
                <w:rFonts w:ascii="Arial" w:hAnsi="Arial" w:cs="Arial"/>
                <w:sz w:val="20"/>
                <w:lang w:val="en-GB"/>
              </w:rPr>
              <w:t>(0.08)</w:t>
            </w:r>
          </w:p>
        </w:tc>
      </w:tr>
      <w:tr w:rsidR="00672834">
        <w:tc>
          <w:tcPr>
            <w:tcW w:w="2384" w:type="dxa"/>
            <w:tcBorders>
              <w:left w:val="single" w:sz="4" w:space="0" w:color="000000"/>
              <w:bottom w:val="single" w:sz="4" w:space="0" w:color="000000"/>
            </w:tcBorders>
            <w:shd w:val="clear" w:color="auto" w:fill="auto"/>
          </w:tcPr>
          <w:p w:rsidR="00672834" w:rsidRDefault="00672834">
            <w:pPr>
              <w:pStyle w:val="DefaultText"/>
              <w:snapToGrid w:val="0"/>
              <w:rPr>
                <w:rFonts w:ascii="Arial" w:hAnsi="Arial" w:cs="Arial"/>
                <w:sz w:val="20"/>
                <w:lang w:val="en-GB"/>
              </w:rPr>
            </w:pPr>
          </w:p>
        </w:tc>
        <w:tc>
          <w:tcPr>
            <w:tcW w:w="1533" w:type="dxa"/>
            <w:tcBorders>
              <w:left w:val="single" w:sz="4" w:space="0" w:color="000000"/>
              <w:bottom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416" w:type="dxa"/>
            <w:tcBorders>
              <w:left w:val="single" w:sz="4" w:space="0" w:color="000000"/>
              <w:bottom w:val="single" w:sz="4" w:space="0" w:color="000000"/>
            </w:tcBorders>
            <w:shd w:val="clear" w:color="auto" w:fill="auto"/>
          </w:tcPr>
          <w:p w:rsidR="00672834" w:rsidRDefault="00672834">
            <w:pPr>
              <w:snapToGrid w:val="0"/>
              <w:jc w:val="right"/>
              <w:rPr>
                <w:rFonts w:ascii="Arial" w:hAnsi="Arial" w:cs="Arial"/>
                <w:sz w:val="20"/>
                <w:lang w:val="en-GB"/>
              </w:rPr>
            </w:pPr>
          </w:p>
        </w:tc>
        <w:tc>
          <w:tcPr>
            <w:tcW w:w="94" w:type="dxa"/>
            <w:tcBorders>
              <w:left w:val="single" w:sz="4" w:space="0" w:color="000000"/>
            </w:tcBorders>
            <w:shd w:val="clear" w:color="auto" w:fill="auto"/>
          </w:tcPr>
          <w:p w:rsidR="00672834" w:rsidRDefault="00672834">
            <w:pPr>
              <w:snapToGrid w:val="0"/>
              <w:jc w:val="right"/>
              <w:rPr>
                <w:sz w:val="20"/>
                <w:szCs w:val="20"/>
                <w:lang w:val="en-GB"/>
              </w:rPr>
            </w:pPr>
          </w:p>
        </w:tc>
        <w:tc>
          <w:tcPr>
            <w:tcW w:w="1457" w:type="dxa"/>
            <w:tcBorders>
              <w:left w:val="single" w:sz="4" w:space="0" w:color="000000"/>
              <w:bottom w:val="single" w:sz="4" w:space="0" w:color="000000"/>
            </w:tcBorders>
            <w:shd w:val="clear" w:color="auto" w:fill="auto"/>
          </w:tcPr>
          <w:p w:rsidR="00672834" w:rsidRDefault="00672834">
            <w:pPr>
              <w:pStyle w:val="DefaultText"/>
              <w:snapToGrid w:val="0"/>
              <w:jc w:val="right"/>
              <w:rPr>
                <w:rFonts w:ascii="Arial" w:hAnsi="Arial" w:cs="Arial"/>
                <w:sz w:val="20"/>
                <w:lang w:val="en-GB"/>
              </w:rPr>
            </w:pPr>
          </w:p>
        </w:tc>
        <w:tc>
          <w:tcPr>
            <w:tcW w:w="1598" w:type="dxa"/>
            <w:tcBorders>
              <w:left w:val="single" w:sz="4" w:space="0" w:color="000000"/>
              <w:bottom w:val="single" w:sz="4" w:space="0" w:color="000000"/>
              <w:right w:val="single" w:sz="4" w:space="0" w:color="000000"/>
            </w:tcBorders>
            <w:shd w:val="clear" w:color="auto" w:fill="auto"/>
          </w:tcPr>
          <w:p w:rsidR="00672834" w:rsidRDefault="00672834">
            <w:pPr>
              <w:snapToGrid w:val="0"/>
              <w:jc w:val="right"/>
              <w:rPr>
                <w:rFonts w:ascii="Arial" w:hAnsi="Arial" w:cs="Arial"/>
                <w:sz w:val="20"/>
                <w:lang w:val="en-GB"/>
              </w:rPr>
            </w:pPr>
          </w:p>
        </w:tc>
      </w:tr>
    </w:tbl>
    <w:p w:rsidR="00672834" w:rsidRDefault="00672834">
      <w:pPr>
        <w:ind w:left="360"/>
        <w:jc w:val="both"/>
      </w:pPr>
    </w:p>
    <w:p w:rsidR="00672834" w:rsidRDefault="00672834">
      <w:pPr>
        <w:jc w:val="both"/>
        <w:rPr>
          <w:rFonts w:ascii="Arial" w:hAnsi="Arial" w:cs="Arial"/>
          <w:b/>
          <w:bCs/>
        </w:rPr>
      </w:pPr>
    </w:p>
    <w:p w:rsidR="00672834" w:rsidRDefault="00672834">
      <w:pPr>
        <w:jc w:val="both"/>
        <w:rPr>
          <w:rFonts w:ascii="Arial" w:hAnsi="Arial" w:cs="Arial"/>
          <w:b/>
          <w:bCs/>
        </w:rPr>
      </w:pPr>
    </w:p>
    <w:p w:rsidR="00672834" w:rsidRDefault="00672834">
      <w:pPr>
        <w:jc w:val="both"/>
        <w:rPr>
          <w:rFonts w:ascii="Arial" w:hAnsi="Arial" w:cs="Arial"/>
          <w:b/>
          <w:bCs/>
        </w:rPr>
      </w:pPr>
    </w:p>
    <w:p w:rsidR="00672834" w:rsidRDefault="00672834">
      <w:pPr>
        <w:jc w:val="both"/>
        <w:rPr>
          <w:rFonts w:ascii="Arial" w:eastAsia="Arial" w:hAnsi="Arial" w:cs="Arial"/>
          <w:b/>
          <w:bCs/>
        </w:rPr>
      </w:pPr>
      <w:r>
        <w:rPr>
          <w:rFonts w:ascii="Arial" w:hAnsi="Arial" w:cs="Arial"/>
          <w:b/>
          <w:bCs/>
        </w:rPr>
        <w:t>BY ORDER OF THE BOARD</w:t>
      </w:r>
    </w:p>
    <w:p w:rsidR="00672834" w:rsidRDefault="00672834">
      <w:pPr>
        <w:autoSpaceDE w:val="0"/>
        <w:rPr>
          <w:rFonts w:ascii="Arial" w:eastAsia="Arial" w:hAnsi="Arial" w:cs="Arial"/>
          <w:b/>
          <w:bCs/>
          <w:sz w:val="21"/>
          <w:szCs w:val="21"/>
        </w:rPr>
      </w:pPr>
      <w:r>
        <w:rPr>
          <w:rFonts w:ascii="Arial" w:eastAsia="Arial" w:hAnsi="Arial" w:cs="Arial"/>
          <w:b/>
          <w:bCs/>
        </w:rPr>
        <w:t>TPC PLUS BERHAD</w:t>
      </w:r>
    </w:p>
    <w:p w:rsidR="00672834" w:rsidRDefault="00672834">
      <w:pPr>
        <w:autoSpaceDE w:val="0"/>
        <w:rPr>
          <w:rFonts w:ascii="Arial" w:eastAsia="Arial" w:hAnsi="Arial" w:cs="Arial"/>
          <w:b/>
          <w:bCs/>
          <w:sz w:val="21"/>
          <w:szCs w:val="21"/>
        </w:rPr>
      </w:pPr>
    </w:p>
    <w:p w:rsidR="00672834" w:rsidRDefault="00672834">
      <w:pPr>
        <w:autoSpaceDE w:val="0"/>
      </w:pPr>
      <w:r>
        <w:rPr>
          <w:rFonts w:ascii="Arial" w:eastAsia="Arial" w:hAnsi="Arial" w:cs="Arial"/>
          <w:sz w:val="21"/>
          <w:szCs w:val="21"/>
        </w:rPr>
        <w:t xml:space="preserve">Dated: </w:t>
      </w:r>
      <w:r w:rsidR="008C1A52">
        <w:rPr>
          <w:rFonts w:ascii="Arial" w:eastAsia="Arial" w:hAnsi="Arial" w:cs="Arial"/>
          <w:sz w:val="21"/>
          <w:szCs w:val="21"/>
        </w:rPr>
        <w:t>20 May 2014</w:t>
      </w:r>
    </w:p>
    <w:sectPr w:rsidR="00672834" w:rsidSect="00A07171">
      <w:headerReference w:type="default" r:id="rId7"/>
      <w:pgSz w:w="11906" w:h="16838"/>
      <w:pgMar w:top="3286" w:right="1440" w:bottom="1440" w:left="1440" w:header="144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7C" w:rsidRDefault="002A5B7C">
      <w:pPr>
        <w:spacing w:line="240" w:lineRule="auto"/>
      </w:pPr>
      <w:r>
        <w:separator/>
      </w:r>
    </w:p>
  </w:endnote>
  <w:endnote w:type="continuationSeparator" w:id="1">
    <w:p w:rsidR="002A5B7C" w:rsidRDefault="002A5B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7C" w:rsidRDefault="002A5B7C">
      <w:pPr>
        <w:spacing w:line="240" w:lineRule="auto"/>
      </w:pPr>
      <w:r>
        <w:separator/>
      </w:r>
    </w:p>
  </w:footnote>
  <w:footnote w:type="continuationSeparator" w:id="1">
    <w:p w:rsidR="002A5B7C" w:rsidRDefault="002A5B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34" w:rsidRDefault="00A54AD4">
    <w:pPr>
      <w:pStyle w:val="Header"/>
      <w:rPr>
        <w:rFonts w:ascii="Arial Black" w:hAnsi="Arial Black" w:cs="Arial Black"/>
        <w:b/>
        <w:color w:val="FF0000"/>
        <w:sz w:val="40"/>
      </w:rPr>
    </w:pPr>
    <w:r>
      <w:rPr>
        <w:noProof/>
        <w:lang w:eastAsia="zh-CN"/>
      </w:rPr>
      <w:drawing>
        <wp:anchor distT="0" distB="0" distL="0" distR="0" simplePos="0" relativeHeight="251657728" behindDoc="0" locked="0" layoutInCell="1" allowOverlap="1">
          <wp:simplePos x="0" y="0"/>
          <wp:positionH relativeFrom="column">
            <wp:posOffset>146050</wp:posOffset>
          </wp:positionH>
          <wp:positionV relativeFrom="paragraph">
            <wp:posOffset>19050</wp:posOffset>
          </wp:positionV>
          <wp:extent cx="604520" cy="852805"/>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4520" cy="852805"/>
                  </a:xfrm>
                  <a:prstGeom prst="rect">
                    <a:avLst/>
                  </a:prstGeom>
                  <a:solidFill>
                    <a:srgbClr val="FFFFFF"/>
                  </a:solidFill>
                  <a:ln w="9525">
                    <a:noFill/>
                    <a:miter lim="800000"/>
                    <a:headEnd/>
                    <a:tailEnd/>
                  </a:ln>
                </pic:spPr>
              </pic:pic>
            </a:graphicData>
          </a:graphic>
        </wp:anchor>
      </w:drawing>
    </w:r>
    <w:r w:rsidR="00672834">
      <w:t xml:space="preserve"> </w:t>
    </w:r>
  </w:p>
  <w:p w:rsidR="00672834" w:rsidRDefault="00672834">
    <w:pPr>
      <w:pStyle w:val="BodyText"/>
      <w:rPr>
        <w:rFonts w:ascii="Arial" w:hAnsi="Arial" w:cs="Arial"/>
        <w:color w:val="FF0000"/>
        <w:sz w:val="18"/>
      </w:rPr>
    </w:pPr>
    <w:r>
      <w:rPr>
        <w:rFonts w:ascii="Arial Black" w:hAnsi="Arial Black" w:cs="Arial Black"/>
        <w:b/>
        <w:color w:val="FF0000"/>
        <w:sz w:val="40"/>
      </w:rPr>
      <w:t xml:space="preserve">                  TPC PLUS BERHAD</w:t>
    </w:r>
    <w:r>
      <w:rPr>
        <w:color w:val="FF0000"/>
      </w:rPr>
      <w:t xml:space="preserve"> </w:t>
    </w:r>
  </w:p>
  <w:p w:rsidR="00672834" w:rsidRDefault="00672834">
    <w:pPr>
      <w:pStyle w:val="BodyText"/>
    </w:pPr>
    <w:r>
      <w:rPr>
        <w:rFonts w:ascii="Arial" w:hAnsi="Arial" w:cs="Arial"/>
        <w:color w:val="FF0000"/>
        <w:sz w:val="18"/>
      </w:rPr>
      <w:t xml:space="preserve">                                                                    </w:t>
    </w:r>
    <w:r>
      <w:rPr>
        <w:rFonts w:ascii="Arial" w:hAnsi="Arial" w:cs="Arial"/>
        <w:sz w:val="18"/>
      </w:rPr>
      <w:t>(Company No. 615330-T)</w:t>
    </w:r>
  </w:p>
  <w:p w:rsidR="00672834" w:rsidRDefault="00672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2D61A24"/>
    <w:name w:val="WW8Num2"/>
    <w:lvl w:ilvl="0">
      <w:start w:val="1"/>
      <w:numFmt w:val="decimal"/>
      <w:lvlText w:val="%1."/>
      <w:lvlJc w:val="left"/>
      <w:pPr>
        <w:tabs>
          <w:tab w:val="num" w:pos="0"/>
        </w:tabs>
        <w:ind w:left="0" w:firstLine="0"/>
      </w:pPr>
      <w:rPr>
        <w:b/>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46A6C"/>
    <w:rsid w:val="0002021D"/>
    <w:rsid w:val="002255FB"/>
    <w:rsid w:val="002A5B7C"/>
    <w:rsid w:val="00346A6C"/>
    <w:rsid w:val="004D16D7"/>
    <w:rsid w:val="00563B02"/>
    <w:rsid w:val="0063212A"/>
    <w:rsid w:val="00672834"/>
    <w:rsid w:val="00745B70"/>
    <w:rsid w:val="007A070F"/>
    <w:rsid w:val="00826485"/>
    <w:rsid w:val="008556C4"/>
    <w:rsid w:val="00855A36"/>
    <w:rsid w:val="008C1A52"/>
    <w:rsid w:val="009E4EA1"/>
    <w:rsid w:val="009F2B0F"/>
    <w:rsid w:val="00A03CF5"/>
    <w:rsid w:val="00A07171"/>
    <w:rsid w:val="00A30B38"/>
    <w:rsid w:val="00A54AD4"/>
    <w:rsid w:val="00B44E69"/>
    <w:rsid w:val="00BA30D0"/>
    <w:rsid w:val="00CF52CD"/>
    <w:rsid w:val="00D57C0B"/>
    <w:rsid w:val="00DA240C"/>
    <w:rsid w:val="00E22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71"/>
    <w:pPr>
      <w:suppressAutoHyphens/>
      <w:spacing w:line="100" w:lineRule="atLeast"/>
    </w:pPr>
    <w:rPr>
      <w:rFonts w:ascii="Helvetica" w:eastAsia="SimSun" w:hAnsi="Helvetica" w:cs="Helvetica"/>
      <w:color w:val="000000"/>
      <w:kern w:val="1"/>
      <w:sz w:val="24"/>
      <w:szCs w:val="24"/>
      <w:lang w:eastAsia="ar-SA"/>
    </w:rPr>
  </w:style>
  <w:style w:type="paragraph" w:styleId="Heading2">
    <w:name w:val="heading 2"/>
    <w:basedOn w:val="Normal"/>
    <w:next w:val="Normal"/>
    <w:qFormat/>
    <w:rsid w:val="00A07171"/>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7171"/>
    <w:rPr>
      <w:b/>
    </w:rPr>
  </w:style>
  <w:style w:type="character" w:customStyle="1" w:styleId="WW-DefaultParagraphFont">
    <w:name w:val="WW-Default Paragraph Font"/>
    <w:rsid w:val="00A07171"/>
  </w:style>
  <w:style w:type="character" w:customStyle="1" w:styleId="Absatz-Standardschriftart">
    <w:name w:val="Absatz-Standardschriftart"/>
    <w:rsid w:val="00A07171"/>
  </w:style>
  <w:style w:type="character" w:customStyle="1" w:styleId="WW-DefaultParagraphFont1">
    <w:name w:val="WW-Default Paragraph Font1"/>
    <w:rsid w:val="00A07171"/>
  </w:style>
  <w:style w:type="character" w:customStyle="1" w:styleId="WW-DefaultParagraphFont11">
    <w:name w:val="WW-Default Paragraph Font11"/>
    <w:rsid w:val="00A07171"/>
  </w:style>
  <w:style w:type="character" w:customStyle="1" w:styleId="WW-Absatz-Standardschriftart">
    <w:name w:val="WW-Absatz-Standardschriftart"/>
    <w:rsid w:val="00A07171"/>
  </w:style>
  <w:style w:type="character" w:customStyle="1" w:styleId="WW-DefaultParagraphFont111">
    <w:name w:val="WW-Default Paragraph Font111"/>
    <w:rsid w:val="00A07171"/>
  </w:style>
  <w:style w:type="character" w:styleId="Emphasis">
    <w:name w:val="Emphasis"/>
    <w:basedOn w:val="WW-DefaultParagraphFont111"/>
    <w:qFormat/>
    <w:rsid w:val="00A07171"/>
    <w:rPr>
      <w:i/>
      <w:iCs/>
    </w:rPr>
  </w:style>
  <w:style w:type="character" w:styleId="Strong">
    <w:name w:val="Strong"/>
    <w:basedOn w:val="WW-DefaultParagraphFont111"/>
    <w:qFormat/>
    <w:rsid w:val="00A07171"/>
    <w:rPr>
      <w:b/>
      <w:bCs/>
    </w:rPr>
  </w:style>
  <w:style w:type="character" w:customStyle="1" w:styleId="WW-DefaultParagraphFont1111">
    <w:name w:val="WW-Default Paragraph Font1111"/>
    <w:rsid w:val="00A07171"/>
  </w:style>
  <w:style w:type="character" w:customStyle="1" w:styleId="WW-Absatz-Standardschriftart1">
    <w:name w:val="WW-Absatz-Standardschriftart1"/>
    <w:rsid w:val="00A07171"/>
  </w:style>
  <w:style w:type="character" w:customStyle="1" w:styleId="WW-Absatz-Standardschriftart11">
    <w:name w:val="WW-Absatz-Standardschriftart11"/>
    <w:rsid w:val="00A07171"/>
  </w:style>
  <w:style w:type="character" w:customStyle="1" w:styleId="WW-DefaultParagraphFont11111">
    <w:name w:val="WW-Default Paragraph Font11111"/>
    <w:rsid w:val="00A07171"/>
  </w:style>
  <w:style w:type="character" w:customStyle="1" w:styleId="WW-Absatz-Standardschriftart111">
    <w:name w:val="WW-Absatz-Standardschriftart111"/>
    <w:rsid w:val="00A07171"/>
  </w:style>
  <w:style w:type="character" w:customStyle="1" w:styleId="BodyTextIndent2Char">
    <w:name w:val="Body Text Indent 2 Char"/>
    <w:basedOn w:val="WW-DefaultParagraphFont111"/>
    <w:rsid w:val="00A07171"/>
    <w:rPr>
      <w:rFonts w:ascii="Times New Roman" w:eastAsia="SimSun" w:hAnsi="Times New Roman" w:cs="Times New Roman"/>
      <w:sz w:val="24"/>
      <w:szCs w:val="24"/>
      <w:lang w:val="en-GB"/>
    </w:rPr>
  </w:style>
  <w:style w:type="character" w:customStyle="1" w:styleId="ListLabel1">
    <w:name w:val="ListLabel 1"/>
    <w:rsid w:val="00A07171"/>
    <w:rPr>
      <w:b/>
    </w:rPr>
  </w:style>
  <w:style w:type="character" w:customStyle="1" w:styleId="WW8Num32z0">
    <w:name w:val="WW8Num32z0"/>
    <w:rsid w:val="00A07171"/>
    <w:rPr>
      <w:b/>
    </w:rPr>
  </w:style>
  <w:style w:type="paragraph" w:customStyle="1" w:styleId="Heading">
    <w:name w:val="Heading"/>
    <w:basedOn w:val="Normal"/>
    <w:next w:val="BodyText"/>
    <w:rsid w:val="00A07171"/>
    <w:pPr>
      <w:keepNext/>
      <w:spacing w:before="240" w:after="120"/>
    </w:pPr>
    <w:rPr>
      <w:rFonts w:ascii="Arial" w:eastAsia="MS Mincho" w:hAnsi="Arial" w:cs="Tahoma"/>
      <w:sz w:val="28"/>
      <w:szCs w:val="28"/>
    </w:rPr>
  </w:style>
  <w:style w:type="paragraph" w:styleId="BodyText">
    <w:name w:val="Body Text"/>
    <w:basedOn w:val="Normal"/>
    <w:rsid w:val="00A07171"/>
    <w:pPr>
      <w:spacing w:after="120"/>
    </w:pPr>
  </w:style>
  <w:style w:type="paragraph" w:styleId="List">
    <w:name w:val="List"/>
    <w:basedOn w:val="BodyText"/>
    <w:rsid w:val="00A07171"/>
    <w:rPr>
      <w:rFonts w:cs="Tahoma"/>
    </w:rPr>
  </w:style>
  <w:style w:type="paragraph" w:styleId="Caption">
    <w:name w:val="caption"/>
    <w:basedOn w:val="Normal"/>
    <w:qFormat/>
    <w:rsid w:val="00A07171"/>
    <w:pPr>
      <w:suppressLineNumbers/>
      <w:spacing w:before="120" w:after="120"/>
    </w:pPr>
    <w:rPr>
      <w:rFonts w:cs="Tahoma"/>
      <w:i/>
      <w:iCs/>
    </w:rPr>
  </w:style>
  <w:style w:type="paragraph" w:customStyle="1" w:styleId="Index">
    <w:name w:val="Index"/>
    <w:basedOn w:val="Normal"/>
    <w:rsid w:val="00A07171"/>
    <w:pPr>
      <w:suppressLineNumbers/>
    </w:pPr>
    <w:rPr>
      <w:rFonts w:cs="Tahoma"/>
    </w:rPr>
  </w:style>
  <w:style w:type="paragraph" w:styleId="Header">
    <w:name w:val="header"/>
    <w:basedOn w:val="Normal"/>
    <w:rsid w:val="00A07171"/>
    <w:pPr>
      <w:suppressLineNumbers/>
      <w:tabs>
        <w:tab w:val="center" w:pos="4512"/>
        <w:tab w:val="right" w:pos="9025"/>
      </w:tabs>
    </w:pPr>
  </w:style>
  <w:style w:type="paragraph" w:styleId="Footer">
    <w:name w:val="footer"/>
    <w:basedOn w:val="Normal"/>
    <w:rsid w:val="00A07171"/>
    <w:pPr>
      <w:tabs>
        <w:tab w:val="center" w:pos="4320"/>
        <w:tab w:val="right" w:pos="8640"/>
      </w:tabs>
    </w:pPr>
  </w:style>
  <w:style w:type="paragraph" w:customStyle="1" w:styleId="TableContents">
    <w:name w:val="Table Contents"/>
    <w:basedOn w:val="Normal"/>
    <w:rsid w:val="00A07171"/>
    <w:pPr>
      <w:suppressLineNumbers/>
    </w:pPr>
  </w:style>
  <w:style w:type="paragraph" w:customStyle="1" w:styleId="TableHeading">
    <w:name w:val="Table Heading"/>
    <w:basedOn w:val="TableContents"/>
    <w:rsid w:val="00A07171"/>
    <w:pPr>
      <w:jc w:val="center"/>
    </w:pPr>
    <w:rPr>
      <w:b/>
      <w:bCs/>
    </w:rPr>
  </w:style>
  <w:style w:type="paragraph" w:customStyle="1" w:styleId="Text">
    <w:name w:val="Text"/>
    <w:basedOn w:val="Caption"/>
    <w:rsid w:val="00A07171"/>
  </w:style>
  <w:style w:type="paragraph" w:customStyle="1" w:styleId="Framecontents">
    <w:name w:val="Frame contents"/>
    <w:basedOn w:val="BodyText"/>
    <w:rsid w:val="00A07171"/>
  </w:style>
  <w:style w:type="paragraph" w:styleId="BodyTextIndent2">
    <w:name w:val="Body Text Indent 2"/>
    <w:basedOn w:val="Normal"/>
    <w:rsid w:val="00A07171"/>
    <w:pPr>
      <w:ind w:left="360"/>
      <w:jc w:val="both"/>
    </w:pPr>
    <w:rPr>
      <w:lang w:val="en-GB"/>
    </w:rPr>
  </w:style>
  <w:style w:type="paragraph" w:styleId="ListContinue">
    <w:name w:val="List Continue"/>
    <w:basedOn w:val="Normal"/>
    <w:rsid w:val="00A07171"/>
    <w:pPr>
      <w:tabs>
        <w:tab w:val="left" w:pos="1440"/>
      </w:tabs>
      <w:overflowPunct w:val="0"/>
      <w:spacing w:after="240"/>
      <w:ind w:left="720"/>
    </w:pPr>
    <w:rPr>
      <w:rFonts w:ascii="Arial" w:eastAsia="Times New Roman" w:hAnsi="Arial" w:cs="Arial"/>
      <w:sz w:val="20"/>
      <w:szCs w:val="20"/>
      <w:lang w:val="en-AU"/>
    </w:rPr>
  </w:style>
  <w:style w:type="paragraph" w:customStyle="1" w:styleId="DefaultText">
    <w:name w:val="Default Text"/>
    <w:basedOn w:val="Normal"/>
    <w:rsid w:val="00A07171"/>
    <w:pPr>
      <w:overflowPunct w:val="0"/>
    </w:pPr>
    <w:rPr>
      <w:rFonts w:eastAsia="Times New Roman"/>
      <w:szCs w:val="20"/>
    </w:rPr>
  </w:style>
  <w:style w:type="paragraph" w:customStyle="1" w:styleId="xl25">
    <w:name w:val="xl25"/>
    <w:basedOn w:val="Normal"/>
    <w:rsid w:val="00A07171"/>
    <w:pPr>
      <w:spacing w:before="100" w:after="100"/>
      <w:jc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ASSOCIATES</dc:creator>
  <cp:keywords/>
  <cp:lastModifiedBy>PC</cp:lastModifiedBy>
  <cp:revision>5</cp:revision>
  <cp:lastPrinted>2014-04-28T07:02:00Z</cp:lastPrinted>
  <dcterms:created xsi:type="dcterms:W3CDTF">2014-05-19T01:31:00Z</dcterms:created>
  <dcterms:modified xsi:type="dcterms:W3CDTF">2014-05-20T06:26:00Z</dcterms:modified>
</cp:coreProperties>
</file>